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Fonts w:hint="eastAsia"/>
          <w:lang w:val="en-US" w:eastAsia="zh-CN"/>
        </w:rPr>
      </w:pPr>
      <w:bookmarkStart w:id="0" w:name="_GoBack"/>
      <w:bookmarkEnd w:id="0"/>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1</w:t>
      </w:r>
      <w:r>
        <w:rPr>
          <w:rStyle w:val="4"/>
          <w:rFonts w:hint="eastAsia" w:ascii="宋体" w:hAnsi="宋体" w:eastAsia="宋体" w:cs="宋体"/>
          <w:i w:val="0"/>
          <w:caps w:val="0"/>
          <w:color w:val="000000"/>
          <w:spacing w:val="0"/>
          <w:sz w:val="27"/>
          <w:szCs w:val="27"/>
          <w:shd w:val="clear" w:color="080000" w:fill="FFFFFF"/>
          <w:lang w:eastAsia="zh-CN"/>
        </w:rPr>
        <w:t>：</w:t>
      </w:r>
    </w:p>
    <w:p>
      <w:pPr>
        <w:numPr>
          <w:numId w:val="0"/>
        </w:numPr>
        <w:rPr>
          <w:rFonts w:hint="default"/>
          <w:lang w:val="en-US" w:eastAsia="zh-CN"/>
        </w:rPr>
      </w:pPr>
      <w:r>
        <w:rPr>
          <w:rFonts w:hint="default" w:ascii="Times New Roman" w:hAnsi="Times New Roman" w:eastAsia="仿宋_GB2312" w:cs="Times New Roman"/>
          <w:kern w:val="2"/>
          <w:sz w:val="32"/>
          <w:szCs w:val="32"/>
          <w:lang w:val="en-US" w:eastAsia="zh-CN" w:bidi="ar-SA"/>
        </w:rPr>
        <w:pict>
          <v:shape id="图片框 1025" o:spid="_x0000_s1026" type="#_x0000_t75" style="height:630.3pt;width:458.8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numPr>
          <w:numId w:val="0"/>
        </w:numPr>
        <w:rPr>
          <w:rFonts w:hint="default"/>
          <w:lang w:val="en-US" w:eastAsia="zh-CN"/>
        </w:rPr>
      </w:pPr>
      <w:r>
        <w:rPr>
          <w:rFonts w:hint="default" w:ascii="Times New Roman" w:hAnsi="Times New Roman" w:eastAsia="仿宋_GB2312" w:cs="Times New Roman"/>
          <w:kern w:val="2"/>
          <w:sz w:val="32"/>
          <w:szCs w:val="32"/>
          <w:lang w:val="en-US" w:eastAsia="zh-CN" w:bidi="ar-SA"/>
        </w:rPr>
        <w:pict>
          <v:shape id="图片框 1026" o:spid="_x0000_s1027" type="#_x0000_t75" style="height:680.9pt;width:465.6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numPr>
          <w:numId w:val="0"/>
        </w:numPr>
        <w:rPr>
          <w:rFonts w:hint="default"/>
          <w:lang w:val="en-US" w:eastAsia="zh-CN"/>
        </w:rPr>
      </w:pPr>
      <w:r>
        <w:rPr>
          <w:rFonts w:hint="default" w:ascii="Times New Roman" w:hAnsi="Times New Roman" w:eastAsia="仿宋_GB2312" w:cs="Times New Roman"/>
          <w:kern w:val="2"/>
          <w:sz w:val="32"/>
          <w:szCs w:val="32"/>
          <w:lang w:val="en-US" w:eastAsia="zh-CN" w:bidi="ar-SA"/>
        </w:rPr>
        <w:pict>
          <v:shape id="图片框 1027" o:spid="_x0000_s1028" type="#_x0000_t75" style="height:684.75pt;width:461.6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numPr>
          <w:numId w:val="0"/>
        </w:numPr>
        <w:rPr>
          <w:rFonts w:hint="default"/>
          <w:lang w:val="en-US" w:eastAsia="zh-CN"/>
        </w:rPr>
      </w:pPr>
      <w:r>
        <w:rPr>
          <w:rFonts w:hint="default" w:ascii="Times New Roman" w:hAnsi="Times New Roman" w:eastAsia="仿宋_GB2312" w:cs="Times New Roman"/>
          <w:kern w:val="2"/>
          <w:sz w:val="32"/>
          <w:szCs w:val="32"/>
          <w:lang w:val="en-US" w:eastAsia="zh-CN" w:bidi="ar-SA"/>
        </w:rPr>
        <w:pict>
          <v:shape id="图片框 1028" o:spid="_x0000_s1029" type="#_x0000_t75" style="height:697.7pt;width:448.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2</w:t>
      </w:r>
      <w:r>
        <w:rPr>
          <w:rStyle w:val="4"/>
          <w:rFonts w:hint="eastAsia" w:ascii="宋体" w:hAnsi="宋体" w:eastAsia="宋体" w:cs="宋体"/>
          <w:i w:val="0"/>
          <w:caps w:val="0"/>
          <w:color w:val="000000"/>
          <w:spacing w:val="0"/>
          <w:sz w:val="27"/>
          <w:szCs w:val="27"/>
          <w:shd w:val="clear" w:color="080000" w:fill="FFFFFF"/>
          <w:lang w:eastAsia="zh-CN"/>
        </w:rPr>
        <w:t>：</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723" w:firstLineChars="200"/>
        <w:textAlignment w:val="top"/>
        <w:rPr>
          <w:rStyle w:val="4"/>
          <w:rFonts w:hint="eastAsia" w:ascii="方正小标宋_GBK" w:hAnsi="方正小标宋_GBK" w:eastAsia="方正小标宋_GBK" w:cs="方正小标宋_GBK"/>
          <w:i w:val="0"/>
          <w:caps w:val="0"/>
          <w:color w:val="000000"/>
          <w:spacing w:val="0"/>
          <w:sz w:val="36"/>
          <w:szCs w:val="36"/>
          <w:shd w:val="clear" w:color="080000" w:fill="FFFFFF"/>
          <w:lang w:eastAsia="zh-CN"/>
        </w:rPr>
      </w:pPr>
      <w:r>
        <w:rPr>
          <w:rStyle w:val="4"/>
          <w:rFonts w:hint="eastAsia" w:ascii="方正小标宋_GBK" w:hAnsi="方正小标宋_GBK" w:eastAsia="方正小标宋_GBK" w:cs="方正小标宋_GBK"/>
          <w:i w:val="0"/>
          <w:caps w:val="0"/>
          <w:color w:val="000000"/>
          <w:spacing w:val="0"/>
          <w:sz w:val="36"/>
          <w:szCs w:val="36"/>
          <w:shd w:val="clear" w:color="080000" w:fill="FFFFFF"/>
          <w:lang w:eastAsia="zh-CN"/>
        </w:rPr>
        <w:t>《河南省实施</w:t>
      </w:r>
      <w:r>
        <w:rPr>
          <w:rStyle w:val="4"/>
          <w:rFonts w:hint="eastAsia" w:ascii="方正小标宋_GBK" w:hAnsi="方正小标宋_GBK" w:eastAsia="方正小标宋_GBK" w:cs="方正小标宋_GBK"/>
          <w:i w:val="0"/>
          <w:caps w:val="0"/>
          <w:color w:val="000000"/>
          <w:spacing w:val="0"/>
          <w:sz w:val="36"/>
          <w:szCs w:val="36"/>
          <w:shd w:val="clear" w:color="080000" w:fill="FFFFFF"/>
          <w:lang w:val="en-US" w:eastAsia="zh-CN"/>
        </w:rPr>
        <w:t>&lt;</w:t>
      </w:r>
      <w:r>
        <w:rPr>
          <w:rStyle w:val="4"/>
          <w:rFonts w:hint="eastAsia" w:ascii="方正小标宋_GBK" w:hAnsi="方正小标宋_GBK" w:eastAsia="方正小标宋_GBK" w:cs="方正小标宋_GBK"/>
          <w:i w:val="0"/>
          <w:caps w:val="0"/>
          <w:color w:val="000000"/>
          <w:spacing w:val="0"/>
          <w:sz w:val="36"/>
          <w:szCs w:val="36"/>
          <w:shd w:val="clear" w:color="080000" w:fill="FFFFFF"/>
          <w:lang w:eastAsia="zh-CN"/>
        </w:rPr>
        <w:t>地震安全性评价管理条例</w:t>
      </w:r>
      <w:r>
        <w:rPr>
          <w:rStyle w:val="4"/>
          <w:rFonts w:hint="eastAsia" w:ascii="方正小标宋_GBK" w:hAnsi="方正小标宋_GBK" w:eastAsia="方正小标宋_GBK" w:cs="方正小标宋_GBK"/>
          <w:i w:val="0"/>
          <w:caps w:val="0"/>
          <w:color w:val="000000"/>
          <w:spacing w:val="0"/>
          <w:sz w:val="36"/>
          <w:szCs w:val="36"/>
          <w:shd w:val="clear" w:color="080000" w:fill="FFFFFF"/>
          <w:lang w:val="en-US" w:eastAsia="zh-CN"/>
        </w:rPr>
        <w:t>&gt;</w:t>
      </w:r>
      <w:r>
        <w:rPr>
          <w:rStyle w:val="4"/>
          <w:rFonts w:hint="eastAsia" w:ascii="方正小标宋_GBK" w:hAnsi="方正小标宋_GBK" w:eastAsia="方正小标宋_GBK" w:cs="方正小标宋_GBK"/>
          <w:i w:val="0"/>
          <w:caps w:val="0"/>
          <w:color w:val="000000"/>
          <w:spacing w:val="0"/>
          <w:sz w:val="36"/>
          <w:szCs w:val="36"/>
          <w:shd w:val="clear" w:color="080000" w:fill="FFFFFF"/>
          <w:lang w:eastAsia="zh-CN"/>
        </w:rPr>
        <w:t>办法》</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1084" w:firstLineChars="300"/>
        <w:textAlignment w:val="top"/>
        <w:rPr>
          <w:rFonts w:hint="eastAsia" w:ascii="方正小标宋_GBK" w:hAnsi="方正小标宋_GBK" w:eastAsia="方正小标宋_GBK" w:cs="方正小标宋_GBK"/>
          <w:i w:val="0"/>
          <w:caps w:val="0"/>
          <w:color w:val="000000"/>
          <w:spacing w:val="0"/>
          <w:sz w:val="36"/>
          <w:szCs w:val="36"/>
        </w:rPr>
      </w:pPr>
      <w:r>
        <w:rPr>
          <w:rStyle w:val="4"/>
          <w:rFonts w:hint="eastAsia" w:ascii="方正小标宋_GBK" w:hAnsi="方正小标宋_GBK" w:eastAsia="方正小标宋_GBK" w:cs="方正小标宋_GBK"/>
          <w:i w:val="0"/>
          <w:caps w:val="0"/>
          <w:color w:val="000000"/>
          <w:spacing w:val="0"/>
          <w:sz w:val="36"/>
          <w:szCs w:val="36"/>
          <w:shd w:val="clear" w:color="080000" w:fill="FFFFFF"/>
          <w:lang w:eastAsia="zh-CN"/>
        </w:rPr>
        <w:t>中规定</w:t>
      </w:r>
      <w:r>
        <w:rPr>
          <w:rStyle w:val="4"/>
          <w:rFonts w:hint="eastAsia" w:ascii="方正小标宋_GBK" w:hAnsi="方正小标宋_GBK" w:eastAsia="方正小标宋_GBK" w:cs="方正小标宋_GBK"/>
          <w:i w:val="0"/>
          <w:caps w:val="0"/>
          <w:color w:val="000000"/>
          <w:spacing w:val="0"/>
          <w:sz w:val="36"/>
          <w:szCs w:val="36"/>
          <w:shd w:val="clear" w:color="080000" w:fill="FFFFFF"/>
        </w:rPr>
        <w:t>必须进行地震安全性评价的建设工程</w:t>
      </w:r>
    </w:p>
    <w:tbl>
      <w:tblPr>
        <w:tblpPr w:leftFromText="180" w:rightFromText="180" w:vertAnchor="text" w:horzAnchor="page" w:tblpX="1306" w:tblpY="824"/>
        <w:tblOverlap w:val="never"/>
        <w:tblW w:w="9577" w:type="dxa"/>
        <w:tblInd w:w="0" w:type="dxa"/>
        <w:tblBorders>
          <w:top w:val="single" w:color="999999" w:sz="6" w:space="0"/>
          <w:left w:val="single" w:color="999999" w:sz="6" w:space="0"/>
          <w:bottom w:val="single" w:color="999999" w:sz="6" w:space="0"/>
          <w:right w:val="single" w:color="999999"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657"/>
        <w:gridCol w:w="8920"/>
      </w:tblGrid>
      <w:tr>
        <w:trPr>
          <w:trHeight w:val="1134" w:hRule="atLeast"/>
        </w:trPr>
        <w:tc>
          <w:tcPr>
            <w:tcW w:w="657" w:type="dxa"/>
            <w:tcBorders>
              <w:top w:val="single" w:color="auto" w:sz="8" w:space="0"/>
              <w:left w:val="single" w:color="auto" w:sz="8" w:space="0"/>
              <w:bottom w:val="single" w:color="auto" w:sz="8" w:space="0"/>
              <w:right w:val="single" w:color="auto" w:sz="8" w:space="0"/>
            </w:tcBorders>
            <w:shd w:val="clear" w:color="auto" w:fill="FFFFFF"/>
            <w:vAlign w:val="center"/>
          </w:tcPr>
          <w:p>
            <w:pPr>
              <w:jc w:val="center"/>
              <w:rPr>
                <w:rFonts w:hint="eastAsia"/>
                <w:sz w:val="28"/>
                <w:szCs w:val="28"/>
              </w:rPr>
            </w:pPr>
            <w:r>
              <w:rPr>
                <w:rFonts w:hint="eastAsia"/>
                <w:sz w:val="28"/>
                <w:szCs w:val="28"/>
                <w:lang w:val="en-US" w:eastAsia="zh-CN"/>
              </w:rPr>
              <w:t>交</w:t>
            </w:r>
            <w:r>
              <w:rPr>
                <w:rFonts w:hint="eastAsia"/>
                <w:sz w:val="28"/>
                <w:szCs w:val="28"/>
                <w:lang w:val="en-US" w:eastAsia="zh-CN"/>
              </w:rPr>
              <w:br/>
            </w:r>
            <w:r>
              <w:rPr>
                <w:rFonts w:hint="eastAsia"/>
                <w:sz w:val="28"/>
                <w:szCs w:val="28"/>
                <w:lang w:val="en-US" w:eastAsia="zh-CN"/>
              </w:rPr>
              <w:t>通</w:t>
            </w:r>
            <w:r>
              <w:rPr>
                <w:rFonts w:hint="eastAsia"/>
                <w:sz w:val="28"/>
                <w:szCs w:val="28"/>
                <w:lang w:val="en-US" w:eastAsia="zh-CN"/>
              </w:rPr>
              <w:br/>
            </w:r>
            <w:r>
              <w:rPr>
                <w:rFonts w:hint="eastAsia"/>
                <w:sz w:val="28"/>
                <w:szCs w:val="28"/>
                <w:lang w:val="en-US" w:eastAsia="zh-CN"/>
              </w:rPr>
              <w:t>工</w:t>
            </w:r>
            <w:r>
              <w:rPr>
                <w:rFonts w:hint="eastAsia"/>
                <w:sz w:val="28"/>
                <w:szCs w:val="28"/>
                <w:lang w:val="en-US" w:eastAsia="zh-CN"/>
              </w:rPr>
              <w:br/>
            </w:r>
            <w:r>
              <w:rPr>
                <w:rFonts w:hint="eastAsia"/>
                <w:sz w:val="28"/>
                <w:szCs w:val="28"/>
                <w:lang w:val="en-US" w:eastAsia="zh-CN"/>
              </w:rPr>
              <w:t>程</w:t>
            </w:r>
          </w:p>
        </w:tc>
        <w:tc>
          <w:tcPr>
            <w:tcW w:w="8920" w:type="dxa"/>
            <w:tcBorders>
              <w:top w:val="single" w:color="auto" w:sz="8" w:space="0"/>
              <w:left w:val="single" w:color="ECE9D8" w:sz="6" w:space="0"/>
              <w:bottom w:val="single" w:color="auto" w:sz="8" w:space="0"/>
              <w:right w:val="single" w:color="auto" w:sz="8" w:space="0"/>
            </w:tcBorders>
            <w:shd w:val="clear" w:color="auto" w:fill="FFFFFF"/>
            <w:vAlign w:val="center"/>
          </w:tcPr>
          <w:p>
            <w:pPr>
              <w:rPr>
                <w:rFonts w:hint="eastAsia"/>
                <w:sz w:val="28"/>
                <w:szCs w:val="28"/>
              </w:rPr>
            </w:pPr>
            <w:r>
              <w:rPr>
                <w:rFonts w:hint="eastAsia"/>
                <w:sz w:val="28"/>
                <w:szCs w:val="28"/>
                <w:lang w:val="en-US" w:eastAsia="zh-CN"/>
              </w:rPr>
              <w:t>1﹒高速铁路、高速公路、城市轻轨、地下铁路和中长以上隧道，高架桥、立交桥，公路与铁路干线的大桥、特大桥；</w:t>
            </w:r>
            <w:r>
              <w:rPr>
                <w:rFonts w:hint="eastAsia"/>
                <w:sz w:val="28"/>
                <w:szCs w:val="28"/>
                <w:lang w:val="en-US" w:eastAsia="zh-CN"/>
              </w:rPr>
              <w:br/>
            </w:r>
            <w:r>
              <w:rPr>
                <w:rFonts w:hint="eastAsia"/>
                <w:sz w:val="28"/>
                <w:szCs w:val="28"/>
                <w:lang w:val="en-US" w:eastAsia="zh-CN"/>
              </w:rPr>
              <w:t>2﹒二级以上汽车客运站，铁路干线的车站、铁路枢纽的主要建筑，机场航空站楼、航管楼、机库。</w:t>
            </w:r>
          </w:p>
        </w:tc>
      </w:tr>
      <w:tr>
        <w:trPr>
          <w:trHeight w:val="1134" w:hRule="atLeast"/>
        </w:trPr>
        <w:tc>
          <w:tcPr>
            <w:tcW w:w="657" w:type="dxa"/>
            <w:tcBorders>
              <w:top w:val="single" w:color="ECE9D8" w:sz="6" w:space="0"/>
              <w:left w:val="single" w:color="auto" w:sz="8" w:space="0"/>
              <w:bottom w:val="single" w:color="auto" w:sz="8" w:space="0"/>
              <w:right w:val="single" w:color="auto" w:sz="8" w:space="0"/>
            </w:tcBorders>
            <w:shd w:val="clear" w:color="auto" w:fill="FFFFFF"/>
            <w:vAlign w:val="center"/>
          </w:tcPr>
          <w:p>
            <w:pPr>
              <w:jc w:val="center"/>
              <w:rPr>
                <w:rFonts w:hint="eastAsia"/>
                <w:sz w:val="28"/>
                <w:szCs w:val="28"/>
              </w:rPr>
            </w:pPr>
            <w:r>
              <w:rPr>
                <w:rFonts w:hint="eastAsia"/>
                <w:sz w:val="28"/>
                <w:szCs w:val="28"/>
                <w:lang w:val="en-US" w:eastAsia="zh-CN"/>
              </w:rPr>
              <w:t>能</w:t>
            </w:r>
            <w:r>
              <w:rPr>
                <w:rFonts w:hint="eastAsia"/>
                <w:sz w:val="28"/>
                <w:szCs w:val="28"/>
                <w:lang w:val="en-US" w:eastAsia="zh-CN"/>
              </w:rPr>
              <w:br/>
            </w:r>
            <w:r>
              <w:rPr>
                <w:rFonts w:hint="eastAsia"/>
                <w:sz w:val="28"/>
                <w:szCs w:val="28"/>
                <w:lang w:val="en-US" w:eastAsia="zh-CN"/>
              </w:rPr>
              <w:t>源</w:t>
            </w:r>
            <w:r>
              <w:rPr>
                <w:rFonts w:hint="eastAsia"/>
                <w:sz w:val="28"/>
                <w:szCs w:val="28"/>
                <w:lang w:val="en-US" w:eastAsia="zh-CN"/>
              </w:rPr>
              <w:br/>
            </w:r>
            <w:r>
              <w:rPr>
                <w:rFonts w:hint="eastAsia"/>
                <w:sz w:val="28"/>
                <w:szCs w:val="28"/>
                <w:lang w:val="en-US" w:eastAsia="zh-CN"/>
              </w:rPr>
              <w:t>工</w:t>
            </w:r>
            <w:r>
              <w:rPr>
                <w:rFonts w:hint="eastAsia"/>
                <w:sz w:val="28"/>
                <w:szCs w:val="28"/>
                <w:lang w:val="en-US" w:eastAsia="zh-CN"/>
              </w:rPr>
              <w:br/>
            </w:r>
            <w:r>
              <w:rPr>
                <w:rFonts w:hint="eastAsia"/>
                <w:sz w:val="28"/>
                <w:szCs w:val="28"/>
                <w:lang w:val="en-US" w:eastAsia="zh-CN"/>
              </w:rPr>
              <w:t>程</w:t>
            </w:r>
          </w:p>
        </w:tc>
        <w:tc>
          <w:tcPr>
            <w:tcW w:w="8920" w:type="dxa"/>
            <w:tcBorders>
              <w:top w:val="single" w:color="ECE9D8" w:sz="6" w:space="0"/>
              <w:left w:val="single" w:color="ECE9D8" w:sz="6" w:space="0"/>
              <w:bottom w:val="single" w:color="auto" w:sz="8" w:space="0"/>
              <w:right w:val="single" w:color="auto" w:sz="8" w:space="0"/>
            </w:tcBorders>
            <w:shd w:val="clear" w:color="auto" w:fill="FFFFFF"/>
            <w:vAlign w:val="center"/>
          </w:tcPr>
          <w:p>
            <w:pPr>
              <w:rPr>
                <w:rFonts w:hint="eastAsia"/>
                <w:sz w:val="28"/>
                <w:szCs w:val="28"/>
              </w:rPr>
            </w:pPr>
            <w:r>
              <w:rPr>
                <w:rFonts w:hint="eastAsia"/>
                <w:sz w:val="28"/>
                <w:szCs w:val="28"/>
                <w:lang w:val="en-US" w:eastAsia="zh-CN"/>
              </w:rPr>
              <w:t>1﹒蓄水量1亿立方米以上的水库大坝和位于城市市区内或者上游的Ⅰ级挡水坝；</w:t>
            </w:r>
            <w:r>
              <w:rPr>
                <w:rFonts w:hint="eastAsia"/>
                <w:sz w:val="28"/>
                <w:szCs w:val="28"/>
                <w:lang w:val="en-US" w:eastAsia="zh-CN"/>
              </w:rPr>
              <w:br/>
            </w:r>
            <w:r>
              <w:rPr>
                <w:rFonts w:hint="eastAsia"/>
                <w:sz w:val="28"/>
                <w:szCs w:val="28"/>
                <w:lang w:val="en-US" w:eastAsia="zh-CN"/>
              </w:rPr>
              <w:t>2﹒抽水蓄能发电，风力发电，单机容量30万千瓦以上或者规划容量80万千瓦以上的火电项目和装机容量20万千瓦以上的水电项目；</w:t>
            </w:r>
            <w:r>
              <w:rPr>
                <w:rFonts w:hint="eastAsia"/>
                <w:sz w:val="28"/>
                <w:szCs w:val="28"/>
                <w:lang w:val="en-US" w:eastAsia="zh-CN"/>
              </w:rPr>
              <w:br/>
            </w:r>
            <w:r>
              <w:rPr>
                <w:rFonts w:hint="eastAsia"/>
                <w:sz w:val="28"/>
                <w:szCs w:val="28"/>
                <w:lang w:val="en-US" w:eastAsia="zh-CN"/>
              </w:rPr>
              <w:t>3﹒省、省辖市的电力调度中心，330千伏以上的变电所和220千伏枢纽变电所的主控通信楼、配电装置楼、就地继电器室。</w:t>
            </w:r>
          </w:p>
        </w:tc>
      </w:tr>
      <w:tr>
        <w:trPr>
          <w:trHeight w:val="1134" w:hRule="atLeast"/>
        </w:trPr>
        <w:tc>
          <w:tcPr>
            <w:tcW w:w="657" w:type="dxa"/>
            <w:tcBorders>
              <w:top w:val="single" w:color="ECE9D8" w:sz="6" w:space="0"/>
              <w:left w:val="single" w:color="auto" w:sz="8" w:space="0"/>
              <w:bottom w:val="single" w:color="auto" w:sz="8" w:space="0"/>
              <w:right w:val="single" w:color="auto" w:sz="8" w:space="0"/>
            </w:tcBorders>
            <w:shd w:val="clear" w:color="auto" w:fill="FFFFFF"/>
            <w:vAlign w:val="center"/>
          </w:tcPr>
          <w:p>
            <w:pPr>
              <w:jc w:val="center"/>
              <w:rPr>
                <w:rFonts w:hint="eastAsia"/>
                <w:sz w:val="28"/>
                <w:szCs w:val="28"/>
              </w:rPr>
            </w:pPr>
            <w:r>
              <w:rPr>
                <w:rFonts w:hint="eastAsia"/>
                <w:sz w:val="28"/>
                <w:szCs w:val="28"/>
                <w:lang w:val="en-US" w:eastAsia="zh-CN"/>
              </w:rPr>
              <w:t>通</w:t>
            </w:r>
            <w:r>
              <w:rPr>
                <w:rFonts w:hint="eastAsia"/>
                <w:sz w:val="28"/>
                <w:szCs w:val="28"/>
                <w:lang w:val="en-US" w:eastAsia="zh-CN"/>
              </w:rPr>
              <w:br/>
            </w:r>
            <w:r>
              <w:rPr>
                <w:rFonts w:hint="eastAsia"/>
                <w:sz w:val="28"/>
                <w:szCs w:val="28"/>
                <w:lang w:val="en-US" w:eastAsia="zh-CN"/>
              </w:rPr>
              <w:t>讯</w:t>
            </w:r>
            <w:r>
              <w:rPr>
                <w:rFonts w:hint="eastAsia"/>
                <w:sz w:val="28"/>
                <w:szCs w:val="28"/>
                <w:lang w:val="en-US" w:eastAsia="zh-CN"/>
              </w:rPr>
              <w:br/>
            </w:r>
            <w:r>
              <w:rPr>
                <w:rFonts w:hint="eastAsia"/>
                <w:sz w:val="28"/>
                <w:szCs w:val="28"/>
                <w:lang w:val="en-US" w:eastAsia="zh-CN"/>
              </w:rPr>
              <w:t>工</w:t>
            </w:r>
            <w:r>
              <w:rPr>
                <w:rFonts w:hint="eastAsia"/>
                <w:sz w:val="28"/>
                <w:szCs w:val="28"/>
                <w:lang w:val="en-US" w:eastAsia="zh-CN"/>
              </w:rPr>
              <w:br/>
            </w:r>
            <w:r>
              <w:rPr>
                <w:rFonts w:hint="eastAsia"/>
                <w:sz w:val="28"/>
                <w:szCs w:val="28"/>
                <w:lang w:val="en-US" w:eastAsia="zh-CN"/>
              </w:rPr>
              <w:t>程</w:t>
            </w:r>
          </w:p>
        </w:tc>
        <w:tc>
          <w:tcPr>
            <w:tcW w:w="8920" w:type="dxa"/>
            <w:tcBorders>
              <w:top w:val="single" w:color="ECE9D8" w:sz="6" w:space="0"/>
              <w:left w:val="single" w:color="ECE9D8" w:sz="6" w:space="0"/>
              <w:bottom w:val="single" w:color="auto" w:sz="8" w:space="0"/>
              <w:right w:val="single" w:color="auto" w:sz="8" w:space="0"/>
            </w:tcBorders>
            <w:shd w:val="clear" w:color="auto" w:fill="FFFFFF"/>
            <w:vAlign w:val="center"/>
          </w:tcPr>
          <w:p>
            <w:pPr>
              <w:rPr>
                <w:rFonts w:hint="eastAsia"/>
                <w:sz w:val="28"/>
                <w:szCs w:val="28"/>
              </w:rPr>
            </w:pPr>
            <w:r>
              <w:rPr>
                <w:rFonts w:hint="eastAsia"/>
                <w:sz w:val="28"/>
                <w:szCs w:val="28"/>
                <w:lang w:val="en-US" w:eastAsia="zh-CN"/>
              </w:rPr>
              <w:t>1﹒功率200千瓦以上的广播发射台、电视台(包括电视差转台、电视播控中心、电视发射塔等）；</w:t>
            </w:r>
            <w:r>
              <w:rPr>
                <w:rFonts w:hint="eastAsia"/>
                <w:sz w:val="28"/>
                <w:szCs w:val="28"/>
                <w:lang w:val="en-US" w:eastAsia="zh-CN"/>
              </w:rPr>
              <w:br/>
            </w:r>
            <w:r>
              <w:rPr>
                <w:rFonts w:hint="eastAsia"/>
                <w:sz w:val="28"/>
                <w:szCs w:val="28"/>
                <w:lang w:val="en-US" w:eastAsia="zh-CN"/>
              </w:rPr>
              <w:t>2﹒省辖市以上长途电信枢纽、邮政枢纽工程及其相关设施。</w:t>
            </w:r>
          </w:p>
        </w:tc>
      </w:tr>
      <w:tr>
        <w:trPr>
          <w:trHeight w:val="1134" w:hRule="atLeast"/>
        </w:trPr>
        <w:tc>
          <w:tcPr>
            <w:tcW w:w="657" w:type="dxa"/>
            <w:tcBorders>
              <w:top w:val="single" w:color="ECE9D8" w:sz="6" w:space="0"/>
              <w:left w:val="single" w:color="auto" w:sz="8" w:space="0"/>
              <w:bottom w:val="single" w:color="auto" w:sz="8" w:space="0"/>
              <w:right w:val="single" w:color="auto" w:sz="8" w:space="0"/>
            </w:tcBorders>
            <w:shd w:val="clear" w:color="auto" w:fill="FFFFFF"/>
            <w:vAlign w:val="center"/>
          </w:tcPr>
          <w:p>
            <w:pPr>
              <w:jc w:val="center"/>
              <w:rPr>
                <w:rFonts w:hint="eastAsia"/>
                <w:sz w:val="28"/>
                <w:szCs w:val="28"/>
              </w:rPr>
            </w:pPr>
            <w:r>
              <w:rPr>
                <w:rFonts w:hint="eastAsia"/>
                <w:sz w:val="28"/>
                <w:szCs w:val="28"/>
                <w:lang w:val="en-US" w:eastAsia="zh-CN"/>
              </w:rPr>
              <w:t>公</w:t>
            </w:r>
            <w:r>
              <w:rPr>
                <w:rFonts w:hint="eastAsia"/>
                <w:sz w:val="28"/>
                <w:szCs w:val="28"/>
                <w:lang w:val="en-US" w:eastAsia="zh-CN"/>
              </w:rPr>
              <w:br/>
            </w:r>
            <w:r>
              <w:rPr>
                <w:rFonts w:hint="eastAsia"/>
                <w:sz w:val="28"/>
                <w:szCs w:val="28"/>
                <w:lang w:val="en-US" w:eastAsia="zh-CN"/>
              </w:rPr>
              <w:t>共</w:t>
            </w:r>
            <w:r>
              <w:rPr>
                <w:rFonts w:hint="eastAsia"/>
                <w:sz w:val="28"/>
                <w:szCs w:val="28"/>
                <w:lang w:val="en-US" w:eastAsia="zh-CN"/>
              </w:rPr>
              <w:br/>
            </w:r>
            <w:r>
              <w:rPr>
                <w:rFonts w:hint="eastAsia"/>
                <w:sz w:val="28"/>
                <w:szCs w:val="28"/>
                <w:lang w:val="en-US" w:eastAsia="zh-CN"/>
              </w:rPr>
              <w:t>设</w:t>
            </w:r>
            <w:r>
              <w:rPr>
                <w:rFonts w:hint="eastAsia"/>
                <w:sz w:val="28"/>
                <w:szCs w:val="28"/>
                <w:lang w:val="en-US" w:eastAsia="zh-CN"/>
              </w:rPr>
              <w:br/>
            </w:r>
            <w:r>
              <w:rPr>
                <w:rFonts w:hint="eastAsia"/>
                <w:sz w:val="28"/>
                <w:szCs w:val="28"/>
                <w:lang w:val="en-US" w:eastAsia="zh-CN"/>
              </w:rPr>
              <w:t>施</w:t>
            </w:r>
            <w:r>
              <w:rPr>
                <w:rFonts w:hint="eastAsia"/>
                <w:sz w:val="28"/>
                <w:szCs w:val="28"/>
                <w:lang w:val="en-US" w:eastAsia="zh-CN"/>
              </w:rPr>
              <w:br/>
            </w:r>
            <w:r>
              <w:rPr>
                <w:rFonts w:hint="eastAsia"/>
                <w:sz w:val="28"/>
                <w:szCs w:val="28"/>
                <w:lang w:val="en-US" w:eastAsia="zh-CN"/>
              </w:rPr>
              <w:t>工</w:t>
            </w:r>
            <w:r>
              <w:rPr>
                <w:rFonts w:hint="eastAsia"/>
                <w:sz w:val="28"/>
                <w:szCs w:val="28"/>
                <w:lang w:val="en-US" w:eastAsia="zh-CN"/>
              </w:rPr>
              <w:br/>
            </w:r>
            <w:r>
              <w:rPr>
                <w:rFonts w:hint="eastAsia"/>
                <w:sz w:val="28"/>
                <w:szCs w:val="28"/>
                <w:lang w:val="en-US" w:eastAsia="zh-CN"/>
              </w:rPr>
              <w:t>程</w:t>
            </w:r>
          </w:p>
        </w:tc>
        <w:tc>
          <w:tcPr>
            <w:tcW w:w="8920" w:type="dxa"/>
            <w:tcBorders>
              <w:top w:val="single" w:color="ECE9D8" w:sz="6" w:space="0"/>
              <w:left w:val="single" w:color="ECE9D8" w:sz="6" w:space="0"/>
              <w:bottom w:val="single" w:color="auto" w:sz="8" w:space="0"/>
              <w:right w:val="single" w:color="auto" w:sz="8" w:space="0"/>
            </w:tcBorders>
            <w:shd w:val="clear" w:color="auto" w:fill="FFFFFF"/>
            <w:vAlign w:val="center"/>
          </w:tcPr>
          <w:p>
            <w:pPr>
              <w:rPr>
                <w:rFonts w:hint="eastAsia"/>
                <w:sz w:val="28"/>
                <w:szCs w:val="28"/>
              </w:rPr>
            </w:pPr>
            <w:r>
              <w:rPr>
                <w:rFonts w:hint="eastAsia"/>
                <w:sz w:val="28"/>
                <w:szCs w:val="28"/>
                <w:lang w:val="en-US" w:eastAsia="zh-CN"/>
              </w:rPr>
              <w:t>1﹒供水、供热、供电、供气、贮油项目的干线和主要设施，长线输油、输气管道及输送设施工程；</w:t>
            </w:r>
            <w:r>
              <w:rPr>
                <w:rFonts w:hint="eastAsia"/>
                <w:sz w:val="28"/>
                <w:szCs w:val="28"/>
                <w:lang w:val="en-US" w:eastAsia="zh-CN"/>
              </w:rPr>
              <w:br/>
            </w:r>
            <w:r>
              <w:rPr>
                <w:rFonts w:hint="eastAsia"/>
                <w:sz w:val="28"/>
                <w:szCs w:val="28"/>
                <w:lang w:val="en-US" w:eastAsia="zh-CN"/>
              </w:rPr>
              <w:t>2﹒大中型粮油加工厂、冷库和15万吨以上粮库；</w:t>
            </w:r>
            <w:r>
              <w:rPr>
                <w:rFonts w:hint="eastAsia"/>
                <w:sz w:val="28"/>
                <w:szCs w:val="28"/>
                <w:lang w:val="en-US" w:eastAsia="zh-CN"/>
              </w:rPr>
              <w:br/>
            </w:r>
            <w:r>
              <w:rPr>
                <w:rFonts w:hint="eastAsia"/>
                <w:sz w:val="28"/>
                <w:szCs w:val="28"/>
                <w:lang w:val="en-US" w:eastAsia="zh-CN"/>
              </w:rPr>
              <w:t>3﹒县级或者二级甲等以上医院门诊楼、住院楼、医技楼，县级以上疾病预防控制中心的主要建筑和防疫、检疫设施工程。</w:t>
            </w:r>
          </w:p>
        </w:tc>
      </w:tr>
      <w:tr>
        <w:trPr>
          <w:trHeight w:val="1134" w:hRule="atLeast"/>
        </w:trPr>
        <w:tc>
          <w:tcPr>
            <w:tcW w:w="657" w:type="dxa"/>
            <w:tcBorders>
              <w:top w:val="single" w:color="ECE9D8" w:sz="6" w:space="0"/>
              <w:left w:val="single" w:color="auto" w:sz="8" w:space="0"/>
              <w:bottom w:val="single" w:color="auto" w:sz="8" w:space="0"/>
              <w:right w:val="single" w:color="auto" w:sz="8" w:space="0"/>
            </w:tcBorders>
            <w:shd w:val="clear" w:color="auto" w:fill="FFFFFF"/>
            <w:vAlign w:val="center"/>
          </w:tcPr>
          <w:p>
            <w:pPr>
              <w:jc w:val="center"/>
              <w:rPr>
                <w:rFonts w:hint="eastAsia"/>
                <w:sz w:val="28"/>
                <w:szCs w:val="28"/>
              </w:rPr>
            </w:pPr>
            <w:r>
              <w:rPr>
                <w:rFonts w:hint="eastAsia"/>
                <w:sz w:val="28"/>
                <w:szCs w:val="28"/>
                <w:lang w:val="en-US" w:eastAsia="zh-CN"/>
              </w:rPr>
              <w:t>特</w:t>
            </w:r>
            <w:r>
              <w:rPr>
                <w:rFonts w:hint="eastAsia"/>
                <w:sz w:val="28"/>
                <w:szCs w:val="28"/>
                <w:lang w:val="en-US" w:eastAsia="zh-CN"/>
              </w:rPr>
              <w:br/>
            </w:r>
            <w:r>
              <w:rPr>
                <w:rFonts w:hint="eastAsia"/>
                <w:sz w:val="28"/>
                <w:szCs w:val="28"/>
                <w:lang w:val="en-US" w:eastAsia="zh-CN"/>
              </w:rPr>
              <w:t>殊</w:t>
            </w:r>
            <w:r>
              <w:rPr>
                <w:rFonts w:hint="eastAsia"/>
                <w:sz w:val="28"/>
                <w:szCs w:val="28"/>
                <w:lang w:val="en-US" w:eastAsia="zh-CN"/>
              </w:rPr>
              <w:br/>
            </w:r>
            <w:r>
              <w:rPr>
                <w:rFonts w:hint="eastAsia"/>
                <w:sz w:val="28"/>
                <w:szCs w:val="28"/>
                <w:lang w:val="en-US" w:eastAsia="zh-CN"/>
              </w:rPr>
              <w:t>工</w:t>
            </w:r>
            <w:r>
              <w:rPr>
                <w:rFonts w:hint="eastAsia"/>
                <w:sz w:val="28"/>
                <w:szCs w:val="28"/>
                <w:lang w:val="en-US" w:eastAsia="zh-CN"/>
              </w:rPr>
              <w:br/>
            </w:r>
            <w:r>
              <w:rPr>
                <w:rFonts w:hint="eastAsia"/>
                <w:sz w:val="28"/>
                <w:szCs w:val="28"/>
                <w:lang w:val="en-US" w:eastAsia="zh-CN"/>
              </w:rPr>
              <w:t>程</w:t>
            </w:r>
          </w:p>
        </w:tc>
        <w:tc>
          <w:tcPr>
            <w:tcW w:w="8920" w:type="dxa"/>
            <w:tcBorders>
              <w:top w:val="single" w:color="ECE9D8" w:sz="6" w:space="0"/>
              <w:left w:val="single" w:color="ECE9D8" w:sz="6" w:space="0"/>
              <w:bottom w:val="single" w:color="auto" w:sz="8" w:space="0"/>
              <w:right w:val="single" w:color="auto" w:sz="8" w:space="0"/>
            </w:tcBorders>
            <w:shd w:val="clear" w:color="auto" w:fill="FFFFFF"/>
            <w:vAlign w:val="center"/>
          </w:tcPr>
          <w:p>
            <w:pPr>
              <w:rPr>
                <w:rFonts w:hint="eastAsia"/>
                <w:sz w:val="28"/>
                <w:szCs w:val="28"/>
              </w:rPr>
            </w:pPr>
            <w:r>
              <w:rPr>
                <w:rFonts w:hint="eastAsia"/>
                <w:sz w:val="28"/>
                <w:szCs w:val="28"/>
                <w:lang w:val="en-US" w:eastAsia="zh-CN"/>
              </w:rPr>
              <w:t>1﹒核电站、核反应堆、核供热装置、重要军事设施以及易燃、易爆物质生产车间和仓库等工程；</w:t>
            </w:r>
            <w:r>
              <w:rPr>
                <w:rFonts w:hint="eastAsia"/>
                <w:sz w:val="28"/>
                <w:szCs w:val="28"/>
                <w:lang w:val="en-US" w:eastAsia="zh-CN"/>
              </w:rPr>
              <w:br/>
            </w:r>
            <w:r>
              <w:rPr>
                <w:rFonts w:hint="eastAsia"/>
                <w:sz w:val="28"/>
                <w:szCs w:val="28"/>
                <w:lang w:val="en-US" w:eastAsia="zh-CN"/>
              </w:rPr>
              <w:t>2﹒研制、生产、存放剧毒物品、放射性物质和天然、人工细菌与病毒的设施工程。</w:t>
            </w:r>
          </w:p>
        </w:tc>
      </w:tr>
      <w:tr>
        <w:trPr>
          <w:trHeight w:val="1134" w:hRule="atLeast"/>
        </w:trPr>
        <w:tc>
          <w:tcPr>
            <w:tcW w:w="657" w:type="dxa"/>
            <w:tcBorders>
              <w:top w:val="single" w:color="ECE9D8" w:sz="6" w:space="0"/>
              <w:left w:val="single" w:color="auto" w:sz="8" w:space="0"/>
              <w:bottom w:val="single" w:color="auto" w:sz="8" w:space="0"/>
              <w:right w:val="single" w:color="auto" w:sz="8" w:space="0"/>
            </w:tcBorders>
            <w:shd w:val="clear" w:color="auto" w:fill="FFFFFF"/>
            <w:vAlign w:val="center"/>
          </w:tcPr>
          <w:p>
            <w:pPr>
              <w:jc w:val="center"/>
              <w:rPr>
                <w:rFonts w:hint="eastAsia"/>
                <w:sz w:val="28"/>
                <w:szCs w:val="28"/>
              </w:rPr>
            </w:pPr>
            <w:r>
              <w:rPr>
                <w:rFonts w:hint="eastAsia"/>
                <w:sz w:val="28"/>
                <w:szCs w:val="28"/>
                <w:lang w:val="en-US" w:eastAsia="zh-CN"/>
              </w:rPr>
              <w:t>其</w:t>
            </w:r>
            <w:r>
              <w:rPr>
                <w:rFonts w:hint="eastAsia"/>
                <w:sz w:val="28"/>
                <w:szCs w:val="28"/>
                <w:lang w:val="en-US" w:eastAsia="zh-CN"/>
              </w:rPr>
              <w:br/>
            </w:r>
            <w:r>
              <w:rPr>
                <w:rFonts w:hint="eastAsia"/>
                <w:sz w:val="28"/>
                <w:szCs w:val="28"/>
                <w:lang w:val="en-US" w:eastAsia="zh-CN"/>
              </w:rPr>
              <w:t>他</w:t>
            </w:r>
            <w:r>
              <w:rPr>
                <w:rFonts w:hint="eastAsia"/>
                <w:sz w:val="28"/>
                <w:szCs w:val="28"/>
                <w:lang w:val="en-US" w:eastAsia="zh-CN"/>
              </w:rPr>
              <w:br/>
            </w:r>
            <w:r>
              <w:rPr>
                <w:rFonts w:hint="eastAsia"/>
                <w:sz w:val="28"/>
                <w:szCs w:val="28"/>
                <w:lang w:val="en-US" w:eastAsia="zh-CN"/>
              </w:rPr>
              <w:t>重</w:t>
            </w:r>
            <w:r>
              <w:rPr>
                <w:rFonts w:hint="eastAsia"/>
                <w:sz w:val="28"/>
                <w:szCs w:val="28"/>
                <w:lang w:val="en-US" w:eastAsia="zh-CN"/>
              </w:rPr>
              <w:br/>
            </w:r>
            <w:r>
              <w:rPr>
                <w:rFonts w:hint="eastAsia"/>
                <w:sz w:val="28"/>
                <w:szCs w:val="28"/>
                <w:lang w:val="en-US" w:eastAsia="zh-CN"/>
              </w:rPr>
              <w:t>要</w:t>
            </w:r>
            <w:r>
              <w:rPr>
                <w:rFonts w:hint="eastAsia"/>
                <w:sz w:val="28"/>
                <w:szCs w:val="28"/>
                <w:lang w:val="en-US" w:eastAsia="zh-CN"/>
              </w:rPr>
              <w:br/>
            </w:r>
            <w:r>
              <w:rPr>
                <w:rFonts w:hint="eastAsia"/>
                <w:sz w:val="28"/>
                <w:szCs w:val="28"/>
                <w:lang w:val="en-US" w:eastAsia="zh-CN"/>
              </w:rPr>
              <w:t>工</w:t>
            </w:r>
            <w:r>
              <w:rPr>
                <w:rFonts w:hint="eastAsia"/>
                <w:sz w:val="28"/>
                <w:szCs w:val="28"/>
                <w:lang w:val="en-US" w:eastAsia="zh-CN"/>
              </w:rPr>
              <w:br/>
            </w:r>
            <w:r>
              <w:rPr>
                <w:rFonts w:hint="eastAsia"/>
                <w:sz w:val="28"/>
                <w:szCs w:val="28"/>
                <w:lang w:val="en-US" w:eastAsia="zh-CN"/>
              </w:rPr>
              <w:t>程</w:t>
            </w:r>
          </w:p>
        </w:tc>
        <w:tc>
          <w:tcPr>
            <w:tcW w:w="8920" w:type="dxa"/>
            <w:tcBorders>
              <w:top w:val="single" w:color="ECE9D8" w:sz="6" w:space="0"/>
              <w:left w:val="single" w:color="ECE9D8" w:sz="6" w:space="0"/>
              <w:bottom w:val="single" w:color="auto" w:sz="8" w:space="0"/>
              <w:right w:val="single" w:color="auto" w:sz="8" w:space="0"/>
            </w:tcBorders>
            <w:shd w:val="clear" w:color="auto" w:fill="FFFFFF"/>
            <w:vAlign w:val="center"/>
          </w:tcPr>
          <w:p>
            <w:pPr>
              <w:rPr>
                <w:rFonts w:hint="eastAsia"/>
                <w:sz w:val="28"/>
                <w:szCs w:val="28"/>
              </w:rPr>
            </w:pPr>
            <w:r>
              <w:rPr>
                <w:rFonts w:hint="eastAsia"/>
                <w:sz w:val="28"/>
                <w:szCs w:val="28"/>
                <w:lang w:val="en-US" w:eastAsia="zh-CN"/>
              </w:rPr>
              <w:t>1﹒各类学校及幼儿园的教学用房、学生公寓楼，县以上人民政府及所属各类救灾应急(含公安、消防等）和指挥机构办公用房；</w:t>
            </w:r>
            <w:r>
              <w:rPr>
                <w:rFonts w:hint="eastAsia"/>
                <w:sz w:val="28"/>
                <w:szCs w:val="28"/>
                <w:lang w:val="en-US" w:eastAsia="zh-CN"/>
              </w:rPr>
              <w:br/>
            </w:r>
            <w:r>
              <w:rPr>
                <w:rFonts w:hint="eastAsia"/>
                <w:sz w:val="28"/>
                <w:szCs w:val="28"/>
                <w:lang w:val="en-US" w:eastAsia="zh-CN"/>
              </w:rPr>
              <w:t>2﹒人员集中的大型影剧院、体育场馆(中心）、展览馆、大型商场和宾馆等场所，存放国家一、二级文物的博物馆等公共建筑；</w:t>
            </w:r>
            <w:r>
              <w:rPr>
                <w:rFonts w:hint="eastAsia"/>
                <w:sz w:val="28"/>
                <w:szCs w:val="28"/>
                <w:lang w:val="en-US" w:eastAsia="zh-CN"/>
              </w:rPr>
              <w:br/>
            </w:r>
            <w:r>
              <w:rPr>
                <w:rFonts w:hint="eastAsia"/>
                <w:sz w:val="28"/>
                <w:szCs w:val="28"/>
                <w:lang w:val="en-US" w:eastAsia="zh-CN"/>
              </w:rPr>
              <w:t>3﹒高层建筑(坚硬、中硬场地，高度80米以上；中软、软弱场地，高度60米以上）；</w:t>
            </w:r>
            <w:r>
              <w:rPr>
                <w:rFonts w:hint="eastAsia"/>
                <w:sz w:val="28"/>
                <w:szCs w:val="28"/>
                <w:lang w:val="en-US" w:eastAsia="zh-CN"/>
              </w:rPr>
              <w:br/>
            </w:r>
            <w:r>
              <w:rPr>
                <w:rFonts w:hint="eastAsia"/>
                <w:sz w:val="28"/>
                <w:szCs w:val="28"/>
                <w:lang w:val="en-US" w:eastAsia="zh-CN"/>
              </w:rPr>
              <w:t>4﹒各类大型企业的生产用房和主要设施，占地范围较大、跨不同工程地质条件区域的新建大型工矿企业、开发区和移民安置区；</w:t>
            </w:r>
            <w:r>
              <w:rPr>
                <w:rFonts w:hint="eastAsia"/>
                <w:sz w:val="28"/>
                <w:szCs w:val="28"/>
                <w:lang w:val="en-US" w:eastAsia="zh-CN"/>
              </w:rPr>
              <w:br/>
            </w:r>
            <w:r>
              <w:rPr>
                <w:rFonts w:hint="eastAsia"/>
                <w:sz w:val="28"/>
                <w:szCs w:val="28"/>
                <w:lang w:val="en-US" w:eastAsia="zh-CN"/>
              </w:rPr>
              <w:t>5﹒位于地震动参数区划图分界线两侧各8公里区域或者第四纪活动断层附近的新建、扩建、改建工程，位于地震重点监视防御区和地震研究程度及资料详细程度较差地区的重要建设工程。</w:t>
            </w:r>
          </w:p>
        </w:tc>
      </w:tr>
    </w:tbl>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3</w:t>
      </w:r>
      <w:r>
        <w:rPr>
          <w:rStyle w:val="4"/>
          <w:rFonts w:hint="eastAsia" w:ascii="宋体" w:hAnsi="宋体" w:eastAsia="宋体" w:cs="宋体"/>
          <w:i w:val="0"/>
          <w:caps w:val="0"/>
          <w:color w:val="000000"/>
          <w:spacing w:val="0"/>
          <w:sz w:val="27"/>
          <w:szCs w:val="27"/>
          <w:shd w:val="clear" w:color="080000" w:fill="FFFFFF"/>
          <w:lang w:eastAsia="zh-CN"/>
        </w:rPr>
        <w:t>：</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firstLine="1080" w:firstLineChars="300"/>
        <w:textAlignment w:val="top"/>
        <w:rPr>
          <w:rStyle w:val="4"/>
          <w:rFonts w:hint="eastAsia" w:ascii="方正小标宋_GBK" w:hAnsi="方正小标宋_GBK" w:eastAsia="方正小标宋_GBK" w:cs="方正小标宋_GBK"/>
          <w:b w:val="0"/>
          <w:bCs w:val="0"/>
          <w:i w:val="0"/>
          <w:caps w:val="0"/>
          <w:color w:val="000000"/>
          <w:spacing w:val="0"/>
          <w:sz w:val="36"/>
          <w:szCs w:val="36"/>
          <w:shd w:val="clear" w:color="0A0000" w:fill="FFFFFF"/>
          <w:lang w:val="en-US" w:eastAsia="zh-CN"/>
        </w:rPr>
      </w:pPr>
      <w:r>
        <w:rPr>
          <w:rStyle w:val="4"/>
          <w:rFonts w:hint="eastAsia" w:ascii="方正小标宋_GBK" w:hAnsi="方正小标宋_GBK" w:eastAsia="方正小标宋_GBK" w:cs="方正小标宋_GBK"/>
          <w:b w:val="0"/>
          <w:bCs w:val="0"/>
          <w:i w:val="0"/>
          <w:caps w:val="0"/>
          <w:color w:val="000000"/>
          <w:spacing w:val="0"/>
          <w:sz w:val="36"/>
          <w:szCs w:val="36"/>
          <w:shd w:val="clear" w:color="0A0000" w:fill="FFFFFF"/>
          <w:lang w:val="en-US" w:eastAsia="zh-CN"/>
        </w:rPr>
        <w:t>河南省发改委投资项目联合审批系统使用</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2160" w:firstLineChars="600"/>
        <w:textAlignment w:val="top"/>
        <w:rPr>
          <w:rStyle w:val="4"/>
          <w:rFonts w:hint="eastAsia" w:ascii="方正小标宋_GBK" w:hAnsi="方正小标宋_GBK" w:eastAsia="方正小标宋_GBK" w:cs="方正小标宋_GBK"/>
          <w:b w:val="0"/>
          <w:bCs w:val="0"/>
          <w:i w:val="0"/>
          <w:caps w:val="0"/>
          <w:color w:val="000000"/>
          <w:spacing w:val="0"/>
          <w:sz w:val="36"/>
          <w:szCs w:val="36"/>
          <w:shd w:val="clear" w:color="0A0000" w:fill="FFFFFF"/>
          <w:lang w:val="en-US" w:eastAsia="zh-CN"/>
        </w:rPr>
      </w:pPr>
      <w:r>
        <w:rPr>
          <w:rStyle w:val="4"/>
          <w:rFonts w:hint="eastAsia" w:ascii="方正小标宋_GBK" w:hAnsi="方正小标宋_GBK" w:eastAsia="方正小标宋_GBK" w:cs="方正小标宋_GBK"/>
          <w:b w:val="0"/>
          <w:bCs w:val="0"/>
          <w:i w:val="0"/>
          <w:caps w:val="0"/>
          <w:color w:val="000000"/>
          <w:spacing w:val="0"/>
          <w:sz w:val="36"/>
          <w:szCs w:val="36"/>
          <w:shd w:val="clear" w:color="0A0000" w:fill="FFFFFF"/>
          <w:lang w:val="en-US" w:eastAsia="zh-CN"/>
        </w:rPr>
        <w:t>方法说明及各县区账号密码</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方正小标宋_GBK" w:hAnsi="方正小标宋_GBK" w:eastAsia="方正小标宋_GBK" w:cs="方正小标宋_GBK"/>
          <w:b w:val="0"/>
          <w:bCs w:val="0"/>
          <w:i w:val="0"/>
          <w:caps w:val="0"/>
          <w:color w:val="000000"/>
          <w:spacing w:val="0"/>
          <w:sz w:val="36"/>
          <w:szCs w:val="36"/>
          <w:shd w:val="clear" w:color="0A0000" w:fill="FFFFFF"/>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firstLine="640" w:firstLineChars="20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河南省地震局与省发改委协商，在投资项目联合审批系统为各县、区地震工作主管部门分配了账号密码，可用于浏览、查询辖区内投资项目信息，请交由相关业务科室使用，加强地震安全性评价项目监管，同时在本次建设工程地震安全检查中灵活运用。</w:t>
      </w:r>
    </w:p>
    <w:p>
      <w:pPr>
        <w:pStyle w:val="2"/>
        <w:widowControl/>
        <w:numPr>
          <w:ilvl w:val="0"/>
          <w:numId w:val="1"/>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firstLine="640" w:firstLineChars="20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省投资项目联合审批系统网址及使用方法</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Fonts w:hint="eastAsia" w:ascii="方正仿宋_GBK" w:hAnsi="方正仿宋_GBK" w:eastAsia="方正仿宋_GBK" w:cs="方正仿宋_GBK"/>
          <w:b w:val="0"/>
          <w:bCs w:val="0"/>
          <w:i w:val="0"/>
          <w:caps w:val="0"/>
          <w:color w:val="000000"/>
          <w:spacing w:val="0"/>
          <w:kern w:val="0"/>
          <w:sz w:val="32"/>
          <w:szCs w:val="32"/>
          <w:shd w:val="clear" w:color="0A0000" w:fill="FFFFFF"/>
          <w:lang w:val="en-US" w:eastAsia="zh-CN" w:bidi="ar-SA"/>
        </w:rPr>
        <w:pict>
          <v:shape id="图片框 1029" o:spid="_x0000_s1030" type="#_x0000_t75" style="height:335.6pt;width:421.5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ind w:firstLine="960" w:firstLineChars="300"/>
        <w:rPr>
          <w:rFonts w:hint="eastAsia"/>
          <w:lang w:val="en-US" w:eastAsia="zh-CN"/>
        </w:rPr>
      </w:pPr>
      <w:r>
        <w:rPr>
          <w:rFonts w:hint="eastAsia"/>
          <w:lang w:val="en-US" w:eastAsia="zh-CN"/>
        </w:rPr>
        <w:t>省投资项目联合审批系统网址为:</w:t>
      </w:r>
    </w:p>
    <w:p>
      <w:pPr>
        <w:ind w:firstLine="960" w:firstLineChars="300"/>
        <w:rPr>
          <w:rFonts w:hint="eastAsia"/>
          <w:lang w:val="en-US" w:eastAsia="zh-CN"/>
        </w:rPr>
      </w:pPr>
      <w:r>
        <w:rPr>
          <w:rFonts w:hint="eastAsia"/>
          <w:lang w:val="en-US" w:eastAsia="zh-CN"/>
        </w:rPr>
        <w:fldChar w:fldCharType="begin"/>
      </w:r>
      <w:r>
        <w:rPr>
          <w:rFonts w:hint="eastAsia"/>
          <w:lang w:val="en-US" w:eastAsia="zh-CN"/>
        </w:rPr>
        <w:instrText xml:space="preserve"> HYPERLINK "http://lsxt.hazw.gov.cn/login/index.do" </w:instrText>
      </w:r>
      <w:r>
        <w:rPr>
          <w:rFonts w:hint="eastAsia"/>
          <w:lang w:val="en-US" w:eastAsia="zh-CN"/>
        </w:rPr>
        <w:fldChar w:fldCharType="separate"/>
      </w:r>
      <w:r>
        <w:rPr>
          <w:rStyle w:val="5"/>
          <w:rFonts w:hint="eastAsia"/>
          <w:lang w:val="en-US" w:eastAsia="zh-CN"/>
        </w:rPr>
        <w:t>http://lsxt.hazw.gov.cn/login/index.do</w:t>
      </w:r>
      <w:r>
        <w:rPr>
          <w:rFonts w:hint="eastAsia"/>
          <w:lang w:val="en-US" w:eastAsia="zh-CN"/>
        </w:rPr>
        <w:fldChar w:fldCharType="end"/>
      </w:r>
    </w:p>
    <w:p>
      <w:pPr>
        <w:ind w:firstLine="960" w:firstLineChars="300"/>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Fonts w:hint="eastAsia"/>
          <w:lang w:val="en-US" w:eastAsia="zh-CN"/>
        </w:rPr>
        <w:t>打开网址后，填写对应的账号密码登录系统，建议使用较高版本的IE浏览器或360浏览器、goole chrome浏览器登录网站（低版本浏览器登录后可能无法正常显示项目信息等相关控件）。</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textAlignment w:val="top"/>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Fonts w:hint="default" w:ascii="方正仿宋_GBK" w:hAnsi="方正仿宋_GBK" w:eastAsia="方正仿宋_GBK" w:cs="方正仿宋_GBK"/>
          <w:b w:val="0"/>
          <w:bCs w:val="0"/>
          <w:i w:val="0"/>
          <w:caps w:val="0"/>
          <w:color w:val="000000"/>
          <w:spacing w:val="0"/>
          <w:kern w:val="0"/>
          <w:sz w:val="32"/>
          <w:szCs w:val="32"/>
          <w:shd w:val="clear" w:color="0A0000" w:fill="FFFFFF"/>
          <w:lang w:val="en-US" w:eastAsia="zh-CN" w:bidi="ar-SA"/>
        </w:rPr>
        <w:pict>
          <v:shape id="图片框 1030" o:spid="_x0000_s1031" type="#_x0000_t75" style="height:295pt;width:461.1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成功登录后，可见如下界面，点击左侧的“项目全程监查”。</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textAlignment w:val="top"/>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Fonts w:hint="default" w:ascii="方正仿宋_GBK" w:hAnsi="方正仿宋_GBK" w:eastAsia="方正仿宋_GBK" w:cs="方正仿宋_GBK"/>
          <w:b w:val="0"/>
          <w:bCs w:val="0"/>
          <w:i w:val="0"/>
          <w:caps w:val="0"/>
          <w:color w:val="000000"/>
          <w:spacing w:val="0"/>
          <w:kern w:val="0"/>
          <w:sz w:val="32"/>
          <w:szCs w:val="32"/>
          <w:shd w:val="clear" w:color="0A0000" w:fill="FFFFFF"/>
          <w:lang w:val="en-US" w:eastAsia="zh-CN" w:bidi="ar-SA"/>
        </w:rPr>
        <w:pict>
          <v:shape id="图片框 1031" o:spid="_x0000_s1032" type="#_x0000_t75" style="height:257.65pt;width:468.0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如上图所示，在新的界面中右上方“省辖市”一栏中选择信</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阳市，“直管县”一栏中选择需要查询的对应县区，点击查询。即可显示该辖区内自系统启用以来在网上进行登记的建设项目信息。如需查询特定某个项目的相关信息，可以直接在“项目名称”、“项目编号”栏目中填写需要查询的内容并点击查询。</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textAlignment w:val="top"/>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Fonts w:hint="default" w:ascii="方正仿宋_GBK" w:hAnsi="方正仿宋_GBK" w:eastAsia="方正仿宋_GBK" w:cs="方正仿宋_GBK"/>
          <w:b w:val="0"/>
          <w:bCs w:val="0"/>
          <w:i w:val="0"/>
          <w:caps w:val="0"/>
          <w:color w:val="000000"/>
          <w:spacing w:val="0"/>
          <w:kern w:val="0"/>
          <w:sz w:val="32"/>
          <w:szCs w:val="32"/>
          <w:shd w:val="clear" w:color="0A0000" w:fill="FFFFFF"/>
          <w:lang w:val="en-US" w:eastAsia="zh-CN" w:bidi="ar-SA"/>
        </w:rPr>
        <w:pict>
          <v:shape id="图片框 1032" o:spid="_x0000_s1033" type="#_x0000_t75" style="height:339.9pt;width:453.5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firstLine="640" w:firstLineChars="20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如上图所示，找到需要查看的项目后，点击项目信息右侧的查看按钮，即可查询项目的基本情况（点击业务基本信息左下角的蓝色箭头可显示其中折叠部分内容）。</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firstLine="640" w:firstLineChars="20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firstLine="640" w:firstLineChars="20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firstLine="640" w:firstLineChars="200"/>
        <w:textAlignment w:val="top"/>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ilvl w:val="0"/>
          <w:numId w:val="1"/>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firstLine="640" w:firstLineChars="20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各县区登录账号及密码</w:t>
      </w:r>
    </w:p>
    <w:tbl>
      <w:tblPr>
        <w:tblW w:w="8878"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3400"/>
        <w:gridCol w:w="3001"/>
      </w:tblGrid>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县区</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登录账号</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登录密码</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浉河区</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411502-dz000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平桥区</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411503-dz000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罗山县</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411521-dz000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光山县</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411522-dz000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新  县</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411523-dz000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商城县</w:t>
            </w:r>
          </w:p>
        </w:tc>
        <w:tc>
          <w:tcPr>
            <w:tcW w:w="3400" w:type="dxa"/>
            <w:vAlign w:val="top"/>
          </w:tcPr>
          <w:p>
            <w:pPr>
              <w:pStyle w:val="2"/>
              <w:widowControl/>
              <w:numPr>
                <w:numId w:val="0"/>
              </w:numPr>
              <w:wordWrap/>
              <w:spacing w:before="0" w:beforeAutospacing="0" w:after="0" w:afterAutospacing="0" w:line="540" w:lineRule="atLeast"/>
              <w:ind w:left="0" w:leftChars="0" w:right="0" w:firstLine="0" w:firstLineChars="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411524-dz000</w:t>
            </w:r>
          </w:p>
        </w:tc>
        <w:tc>
          <w:tcPr>
            <w:tcW w:w="3001" w:type="dxa"/>
            <w:vAlign w:val="top"/>
          </w:tcPr>
          <w:p>
            <w:pPr>
              <w:pStyle w:val="2"/>
              <w:widowControl/>
              <w:numPr>
                <w:numId w:val="0"/>
              </w:numPr>
              <w:wordWrap/>
              <w:spacing w:before="0" w:beforeAutospacing="0" w:after="0" w:afterAutospacing="0" w:line="540" w:lineRule="atLeast"/>
              <w:ind w:left="0" w:leftChars="0" w:right="0" w:firstLine="0" w:firstLineChars="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固始县</w:t>
            </w:r>
          </w:p>
        </w:tc>
        <w:tc>
          <w:tcPr>
            <w:tcW w:w="3400" w:type="dxa"/>
            <w:vAlign w:val="top"/>
          </w:tcPr>
          <w:p>
            <w:pPr>
              <w:pStyle w:val="2"/>
              <w:widowControl/>
              <w:numPr>
                <w:numId w:val="0"/>
              </w:numPr>
              <w:wordWrap/>
              <w:spacing w:before="0" w:beforeAutospacing="0" w:after="0" w:afterAutospacing="0" w:line="540" w:lineRule="atLeast"/>
              <w:ind w:left="0" w:leftChars="0" w:right="0" w:firstLine="0" w:firstLineChars="0"/>
              <w:jc w:val="center"/>
              <w:textAlignment w:val="top"/>
              <w:rPr>
                <w:rFonts w:hint="eastAsia" w:ascii="方正仿宋_GBK" w:hAnsi="方正仿宋_GBK" w:eastAsia="方正仿宋_GBK" w:cs="方正仿宋_GBK"/>
                <w:b w:val="0"/>
                <w:bCs w:val="0"/>
                <w:i w:val="0"/>
                <w:caps w:val="0"/>
                <w:color w:val="000000"/>
                <w:spacing w:val="0"/>
                <w:kern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411525-dz000</w:t>
            </w:r>
          </w:p>
        </w:tc>
        <w:tc>
          <w:tcPr>
            <w:tcW w:w="3001" w:type="dxa"/>
            <w:vAlign w:val="top"/>
          </w:tcPr>
          <w:p>
            <w:pPr>
              <w:pStyle w:val="2"/>
              <w:widowControl/>
              <w:numPr>
                <w:numId w:val="0"/>
              </w:numPr>
              <w:wordWrap/>
              <w:spacing w:before="0" w:beforeAutospacing="0" w:after="0" w:afterAutospacing="0" w:line="540" w:lineRule="atLeast"/>
              <w:ind w:left="0" w:leftChars="0" w:right="0" w:firstLine="0" w:firstLineChars="0"/>
              <w:jc w:val="center"/>
              <w:textAlignment w:val="top"/>
              <w:rPr>
                <w:rFonts w:hint="eastAsia" w:ascii="方正仿宋_GBK" w:hAnsi="方正仿宋_GBK" w:eastAsia="方正仿宋_GBK" w:cs="方正仿宋_GBK"/>
                <w:b w:val="0"/>
                <w:bCs w:val="0"/>
                <w:i w:val="0"/>
                <w:color w:val="000000"/>
                <w:spacing w:val="0"/>
                <w:kern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潢川县</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411526-dz000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6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淮滨县</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411527-dz000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r>
        <w:trPr>
          <w:trHeight w:val="686" w:hRule="atLeast"/>
        </w:trPr>
        <w:tc>
          <w:tcPr>
            <w:tcW w:w="2477"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息  县</w:t>
            </w:r>
          </w:p>
        </w:tc>
        <w:tc>
          <w:tcPr>
            <w:tcW w:w="3400"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411528-dz000</w:t>
            </w:r>
          </w:p>
        </w:tc>
        <w:tc>
          <w:tcPr>
            <w:tcW w:w="3001" w:type="dxa"/>
            <w:vAlign w:val="top"/>
          </w:tcPr>
          <w:p>
            <w:pPr>
              <w:pStyle w:val="2"/>
              <w:widowControl/>
              <w:numPr>
                <w:numId w:val="0"/>
              </w:numPr>
              <w:wordWrap/>
              <w:spacing w:before="0" w:beforeAutospacing="0" w:after="0" w:afterAutospacing="0" w:line="540" w:lineRule="atLeast"/>
              <w:ind w:right="0"/>
              <w:jc w:val="center"/>
              <w:textAlignment w:val="top"/>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pPr>
            <w:r>
              <w:rPr>
                <w:rStyle w:val="4"/>
                <w:rFonts w:hint="eastAsia" w:ascii="方正仿宋_GBK" w:hAnsi="方正仿宋_GBK" w:eastAsia="方正仿宋_GBK" w:cs="方正仿宋_GBK"/>
                <w:b w:val="0"/>
                <w:bCs w:val="0"/>
                <w:i w:val="0"/>
                <w:color w:val="000000"/>
                <w:spacing w:val="0"/>
                <w:sz w:val="32"/>
                <w:szCs w:val="32"/>
                <w:shd w:val="clear" w:color="090000" w:fill="FFFFFF"/>
                <w:lang w:val="en-US" w:eastAsia="zh-CN"/>
              </w:rPr>
              <w:t>h</w:t>
            </w: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n123456</w:t>
            </w:r>
          </w:p>
        </w:tc>
      </w:tr>
    </w:tbl>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jc w:val="left"/>
        <w:textAlignment w:val="top"/>
        <w:rPr>
          <w:rStyle w:val="4"/>
          <w:rFonts w:hint="default" w:ascii="方正仿宋_GBK" w:hAnsi="方正仿宋_GBK" w:eastAsia="方正仿宋_GBK" w:cs="方正仿宋_GBK"/>
          <w:b w:val="0"/>
          <w:bCs w:val="0"/>
          <w:i w:val="0"/>
          <w:caps w:val="0"/>
          <w:color w:val="000000"/>
          <w:spacing w:val="0"/>
          <w:sz w:val="32"/>
          <w:szCs w:val="32"/>
          <w:shd w:val="clear" w:color="0A0000" w:fill="FFFFFF"/>
          <w:lang w:val="en-US" w:eastAsia="zh-CN"/>
        </w:rPr>
      </w:pPr>
      <w:r>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t xml:space="preserve">    （省发改委未对开发区、管理区专门设置账户）</w:t>
      </w: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leftChars="200"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pPr>
    </w:p>
    <w:p>
      <w:pPr>
        <w:pStyle w:val="2"/>
        <w:widowControl/>
        <w:numPr>
          <w:numId w:val="0"/>
        </w:numPr>
        <w:pBdr>
          <w:top w:val="none" w:color="auto" w:sz="0" w:space="0"/>
          <w:left w:val="none" w:color="auto" w:sz="0" w:space="0"/>
          <w:bottom w:val="none" w:color="auto" w:sz="0" w:space="0"/>
          <w:right w:val="none" w:color="auto" w:sz="0" w:space="0"/>
        </w:pBdr>
        <w:shd w:val="clear" w:color="070000" w:fill="FFFFFF"/>
        <w:wordWrap/>
        <w:spacing w:before="0" w:beforeAutospacing="0" w:after="0" w:afterAutospacing="0" w:line="540" w:lineRule="atLeast"/>
        <w:ind w:right="0"/>
        <w:textAlignment w:val="top"/>
        <w:rPr>
          <w:rStyle w:val="4"/>
          <w:rFonts w:hint="eastAsia" w:ascii="方正仿宋_GBK" w:hAnsi="方正仿宋_GBK" w:eastAsia="方正仿宋_GBK" w:cs="方正仿宋_GBK"/>
          <w:b w:val="0"/>
          <w:bCs w:val="0"/>
          <w:i w:val="0"/>
          <w:caps w:val="0"/>
          <w:color w:val="000000"/>
          <w:spacing w:val="0"/>
          <w:sz w:val="32"/>
          <w:szCs w:val="32"/>
          <w:shd w:val="clear" w:color="0A0000" w:fill="FFFFFF"/>
          <w:lang w:val="en-US" w:eastAsia="zh-CN"/>
        </w:rPr>
        <w:sectPr>
          <w:pgSz w:w="11906" w:h="16838"/>
          <w:pgMar w:top="1417" w:right="1417" w:bottom="1417" w:left="1417" w:header="851" w:footer="992" w:gutter="0"/>
          <w:cols w:space="720" w:num="1"/>
          <w:docGrid w:type="lines" w:linePitch="312"/>
        </w:sect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4</w:t>
      </w:r>
      <w:r>
        <w:rPr>
          <w:rStyle w:val="4"/>
          <w:rFonts w:hint="eastAsia" w:ascii="宋体" w:hAnsi="宋体" w:eastAsia="宋体" w:cs="宋体"/>
          <w:i w:val="0"/>
          <w:caps w:val="0"/>
          <w:color w:val="000000"/>
          <w:spacing w:val="0"/>
          <w:sz w:val="27"/>
          <w:szCs w:val="27"/>
          <w:shd w:val="clear" w:color="080000" w:fill="FFFFFF"/>
          <w:lang w:eastAsia="zh-CN"/>
        </w:rPr>
        <w:t>：</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jc w:val="center"/>
        <w:textAlignment w:val="top"/>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pPr>
      <w:r>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t>河南省建设工程项目地震安全性评价检查清单</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 xml:space="preserve">填报单位：                                          </w:t>
      </w:r>
      <w:r>
        <w:rPr>
          <w:rStyle w:val="4"/>
          <w:rFonts w:hint="eastAsia" w:ascii="仿宋_GB2312" w:hAnsi="仿宋_GB2312" w:cs="仿宋_GB2312"/>
          <w:b w:val="0"/>
          <w:bCs w:val="0"/>
          <w:i w:val="0"/>
          <w:caps w:val="0"/>
          <w:color w:val="000000"/>
          <w:spacing w:val="0"/>
          <w:sz w:val="32"/>
          <w:szCs w:val="32"/>
          <w:shd w:val="clear" w:color="0A0000" w:fill="FFFFFF"/>
          <w:lang w:val="en-US" w:eastAsia="zh-CN"/>
        </w:rPr>
        <w:t xml:space="preserve">   </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填报日期：</w:t>
      </w:r>
    </w:p>
    <w:tbl>
      <w:tblPr>
        <w:tblpPr w:leftFromText="180" w:rightFromText="180" w:vertAnchor="text" w:horzAnchor="page" w:tblpX="1492" w:tblpY="221"/>
        <w:tblOverlap w:val="never"/>
        <w:tblW w:w="14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933"/>
        <w:gridCol w:w="1422"/>
        <w:gridCol w:w="1422"/>
        <w:gridCol w:w="1330"/>
        <w:gridCol w:w="2265"/>
        <w:gridCol w:w="1117"/>
        <w:gridCol w:w="1577"/>
        <w:gridCol w:w="1791"/>
        <w:gridCol w:w="780"/>
      </w:tblGrid>
      <w:tr>
        <w:tc>
          <w:tcPr>
            <w:tcW w:w="911"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序号</w:t>
            </w:r>
          </w:p>
        </w:tc>
        <w:tc>
          <w:tcPr>
            <w:tcW w:w="1933"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建设工程名称</w:t>
            </w:r>
          </w:p>
        </w:tc>
        <w:tc>
          <w:tcPr>
            <w:tcW w:w="1422"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建设单位</w:t>
            </w:r>
          </w:p>
        </w:tc>
        <w:tc>
          <w:tcPr>
            <w:tcW w:w="1422"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项目类型</w:t>
            </w:r>
          </w:p>
        </w:tc>
        <w:tc>
          <w:tcPr>
            <w:tcW w:w="1330"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项目规模</w:t>
            </w:r>
          </w:p>
        </w:tc>
        <w:tc>
          <w:tcPr>
            <w:tcW w:w="2265"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建设单位联系人及联系电话</w:t>
            </w:r>
          </w:p>
        </w:tc>
        <w:tc>
          <w:tcPr>
            <w:tcW w:w="1117"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是否开展地震安全性评价</w:t>
            </w:r>
          </w:p>
        </w:tc>
        <w:tc>
          <w:tcPr>
            <w:tcW w:w="1577"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地震安全性评价结果是否用于抗震设计</w:t>
            </w:r>
          </w:p>
        </w:tc>
        <w:tc>
          <w:tcPr>
            <w:tcW w:w="1791"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未开展地震安评或未应用于抗震设计的说明</w:t>
            </w:r>
          </w:p>
        </w:tc>
        <w:tc>
          <w:tcPr>
            <w:tcW w:w="780"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备 注</w:t>
            </w: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c>
          <w:tcPr>
            <w:tcW w:w="91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933"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3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26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11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7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79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78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bl>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24"/>
          <w:szCs w:val="24"/>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24"/>
          <w:szCs w:val="24"/>
          <w:shd w:val="clear" w:color="0A0000" w:fill="FFFFFF"/>
          <w:lang w:val="en-US" w:eastAsia="zh-CN"/>
        </w:rPr>
        <w:t>本表范围为省政府120号令附表所列工程项目中本辖区除学校、医院外的其他项目。</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5</w:t>
      </w:r>
      <w:r>
        <w:rPr>
          <w:rStyle w:val="4"/>
          <w:rFonts w:hint="eastAsia" w:ascii="宋体" w:hAnsi="宋体" w:eastAsia="宋体" w:cs="宋体"/>
          <w:i w:val="0"/>
          <w:caps w:val="0"/>
          <w:color w:val="000000"/>
          <w:spacing w:val="0"/>
          <w:sz w:val="27"/>
          <w:szCs w:val="27"/>
          <w:shd w:val="clear" w:color="080000" w:fill="FFFFFF"/>
          <w:lang w:eastAsia="zh-CN"/>
        </w:rPr>
        <w:t>：</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firstLine="2650" w:firstLineChars="600"/>
        <w:jc w:val="both"/>
        <w:textAlignment w:val="top"/>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pPr>
      <w:r>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t>河南省学校建设项目地震安全性评价检查清单</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 xml:space="preserve">填报单位：                                          </w:t>
      </w:r>
      <w:r>
        <w:rPr>
          <w:rStyle w:val="4"/>
          <w:rFonts w:hint="eastAsia" w:ascii="仿宋_GB2312" w:hAnsi="仿宋_GB2312" w:cs="仿宋_GB2312"/>
          <w:b w:val="0"/>
          <w:bCs w:val="0"/>
          <w:i w:val="0"/>
          <w:caps w:val="0"/>
          <w:color w:val="000000"/>
          <w:spacing w:val="0"/>
          <w:sz w:val="32"/>
          <w:szCs w:val="32"/>
          <w:shd w:val="clear" w:color="0A0000" w:fill="FFFFFF"/>
          <w:lang w:val="en-US" w:eastAsia="zh-CN"/>
        </w:rPr>
        <w:t xml:space="preserve">   </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填报日期：</w:t>
      </w:r>
    </w:p>
    <w:tbl>
      <w:tblPr>
        <w:tblpPr w:leftFromText="180" w:rightFromText="180" w:vertAnchor="text" w:horzAnchor="page" w:tblpX="1522" w:tblpY="101"/>
        <w:tblOverlap w:val="never"/>
        <w:tblW w:w="14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071"/>
        <w:gridCol w:w="1524"/>
        <w:gridCol w:w="1524"/>
        <w:gridCol w:w="1426"/>
        <w:gridCol w:w="2784"/>
        <w:gridCol w:w="1662"/>
        <w:gridCol w:w="1479"/>
        <w:gridCol w:w="1030"/>
      </w:tblGrid>
      <w:tr>
        <w:trPr>
          <w:trHeight w:val="452" w:hRule="atLeast"/>
        </w:trPr>
        <w:tc>
          <w:tcPr>
            <w:tcW w:w="976"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序号</w:t>
            </w:r>
          </w:p>
        </w:tc>
        <w:tc>
          <w:tcPr>
            <w:tcW w:w="2071"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建设工程名称</w:t>
            </w:r>
          </w:p>
        </w:tc>
        <w:tc>
          <w:tcPr>
            <w:tcW w:w="1524"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建设单位</w:t>
            </w:r>
          </w:p>
        </w:tc>
        <w:tc>
          <w:tcPr>
            <w:tcW w:w="1524"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建设地点</w:t>
            </w:r>
          </w:p>
        </w:tc>
        <w:tc>
          <w:tcPr>
            <w:tcW w:w="1426"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项目规模</w:t>
            </w:r>
          </w:p>
        </w:tc>
        <w:tc>
          <w:tcPr>
            <w:tcW w:w="2784"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建设单位联系人及联系电话</w:t>
            </w:r>
          </w:p>
        </w:tc>
        <w:tc>
          <w:tcPr>
            <w:tcW w:w="3141" w:type="dxa"/>
            <w:gridSpan w:val="2"/>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提高抗震能力的具体方式</w:t>
            </w:r>
          </w:p>
        </w:tc>
        <w:tc>
          <w:tcPr>
            <w:tcW w:w="1030"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备 注</w:t>
            </w:r>
          </w:p>
        </w:tc>
      </w:tr>
      <w:tr>
        <w:trPr>
          <w:trHeight w:val="496" w:hRule="atLeast"/>
        </w:trPr>
        <w:tc>
          <w:tcPr>
            <w:tcW w:w="976"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2071"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524"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524"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426"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2784"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提高抗震措施</w:t>
            </w:r>
          </w:p>
        </w:tc>
        <w:tc>
          <w:tcPr>
            <w:tcW w:w="1479"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提高设防</w:t>
            </w:r>
          </w:p>
        </w:tc>
        <w:tc>
          <w:tcPr>
            <w:tcW w:w="1030"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63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bl>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仿宋_GB2312" w:hAnsi="仿宋_GB2312" w:cs="仿宋_GB2312"/>
          <w:b w:val="0"/>
          <w:bCs w:val="0"/>
          <w:i w:val="0"/>
          <w:caps w:val="0"/>
          <w:color w:val="000000"/>
          <w:spacing w:val="0"/>
          <w:sz w:val="24"/>
          <w:szCs w:val="24"/>
          <w:shd w:val="clear" w:color="0A0000" w:fill="FFFFFF"/>
          <w:lang w:val="en-US" w:eastAsia="zh-CN"/>
        </w:rPr>
        <w:t>本表范围为本辖区2009年5月1日以来，建设的学校（含幼儿园）目录及其抗震设计说明。如已开展地震安全性评价，请在备注中说明。</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6</w:t>
      </w:r>
      <w:r>
        <w:rPr>
          <w:rStyle w:val="4"/>
          <w:rFonts w:hint="eastAsia" w:ascii="宋体" w:hAnsi="宋体" w:eastAsia="宋体" w:cs="宋体"/>
          <w:i w:val="0"/>
          <w:caps w:val="0"/>
          <w:color w:val="000000"/>
          <w:spacing w:val="0"/>
          <w:sz w:val="27"/>
          <w:szCs w:val="27"/>
          <w:shd w:val="clear" w:color="080000" w:fill="FFFFFF"/>
          <w:lang w:eastAsia="zh-CN"/>
        </w:rPr>
        <w:t>：</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firstLine="2650" w:firstLineChars="600"/>
        <w:jc w:val="both"/>
        <w:textAlignment w:val="top"/>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pPr>
      <w:r>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t>河南省医院建设项目地震安全性评价检查清单</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 xml:space="preserve">填报单位：                                          </w:t>
      </w:r>
      <w:r>
        <w:rPr>
          <w:rStyle w:val="4"/>
          <w:rFonts w:hint="eastAsia" w:ascii="仿宋_GB2312" w:hAnsi="仿宋_GB2312" w:cs="仿宋_GB2312"/>
          <w:b w:val="0"/>
          <w:bCs w:val="0"/>
          <w:i w:val="0"/>
          <w:caps w:val="0"/>
          <w:color w:val="000000"/>
          <w:spacing w:val="0"/>
          <w:sz w:val="32"/>
          <w:szCs w:val="32"/>
          <w:shd w:val="clear" w:color="0A0000" w:fill="FFFFFF"/>
          <w:lang w:val="en-US" w:eastAsia="zh-CN"/>
        </w:rPr>
        <w:t xml:space="preserve">   </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填报日期：</w:t>
      </w:r>
    </w:p>
    <w:tbl>
      <w:tblPr>
        <w:tblpPr w:leftFromText="180" w:rightFromText="180" w:vertAnchor="text" w:horzAnchor="page" w:tblpX="1522" w:tblpY="101"/>
        <w:tblOverlap w:val="never"/>
        <w:tblW w:w="14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071"/>
        <w:gridCol w:w="1524"/>
        <w:gridCol w:w="1524"/>
        <w:gridCol w:w="1426"/>
        <w:gridCol w:w="2784"/>
        <w:gridCol w:w="1662"/>
        <w:gridCol w:w="1479"/>
        <w:gridCol w:w="1030"/>
      </w:tblGrid>
      <w:tr>
        <w:trPr>
          <w:trHeight w:val="452" w:hRule="atLeast"/>
        </w:trPr>
        <w:tc>
          <w:tcPr>
            <w:tcW w:w="976"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序号</w:t>
            </w:r>
          </w:p>
        </w:tc>
        <w:tc>
          <w:tcPr>
            <w:tcW w:w="2071"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建设工程名称</w:t>
            </w:r>
          </w:p>
        </w:tc>
        <w:tc>
          <w:tcPr>
            <w:tcW w:w="1524"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建设单位</w:t>
            </w:r>
          </w:p>
        </w:tc>
        <w:tc>
          <w:tcPr>
            <w:tcW w:w="1524"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建设地点</w:t>
            </w:r>
          </w:p>
        </w:tc>
        <w:tc>
          <w:tcPr>
            <w:tcW w:w="1426"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项目规模</w:t>
            </w:r>
          </w:p>
        </w:tc>
        <w:tc>
          <w:tcPr>
            <w:tcW w:w="2784"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建设单位联系人及联系电话</w:t>
            </w:r>
          </w:p>
        </w:tc>
        <w:tc>
          <w:tcPr>
            <w:tcW w:w="3141" w:type="dxa"/>
            <w:gridSpan w:val="2"/>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提高抗震能力的具体方式</w:t>
            </w:r>
          </w:p>
        </w:tc>
        <w:tc>
          <w:tcPr>
            <w:tcW w:w="1030" w:type="dxa"/>
            <w:vMerge w:val="restart"/>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备 注</w:t>
            </w:r>
          </w:p>
        </w:tc>
      </w:tr>
      <w:tr>
        <w:trPr>
          <w:trHeight w:val="496" w:hRule="atLeast"/>
        </w:trPr>
        <w:tc>
          <w:tcPr>
            <w:tcW w:w="976"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2071"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524"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524"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426"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2784"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提高抗震措施</w:t>
            </w:r>
          </w:p>
        </w:tc>
        <w:tc>
          <w:tcPr>
            <w:tcW w:w="1479"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r>
              <w:rPr>
                <w:rStyle w:val="4"/>
                <w:rFonts w:hint="eastAsia" w:ascii="仿宋_GB2312" w:hAnsi="仿宋_GB2312" w:cs="仿宋_GB2312"/>
                <w:b w:val="0"/>
                <w:bCs w:val="0"/>
                <w:i w:val="0"/>
                <w:caps w:val="0"/>
                <w:color w:val="000000"/>
                <w:spacing w:val="0"/>
                <w:sz w:val="21"/>
                <w:szCs w:val="21"/>
                <w:shd w:val="clear" w:color="0A0000" w:fill="FFFFFF"/>
                <w:lang w:val="en-US" w:eastAsia="zh-CN"/>
              </w:rPr>
              <w:t>提高设防</w:t>
            </w:r>
          </w:p>
        </w:tc>
        <w:tc>
          <w:tcPr>
            <w:tcW w:w="1030" w:type="dxa"/>
            <w:vMerge w:val="continue"/>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59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r>
        <w:trPr>
          <w:trHeight w:val="637" w:hRule="atLeast"/>
        </w:trPr>
        <w:tc>
          <w:tcPr>
            <w:tcW w:w="97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071"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52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26"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2784"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662"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479"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c>
          <w:tcPr>
            <w:tcW w:w="1030"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21"/>
                <w:szCs w:val="21"/>
                <w:shd w:val="clear" w:color="0A0000" w:fill="FFFFFF"/>
                <w:lang w:val="en-US" w:eastAsia="zh-CN"/>
              </w:rPr>
            </w:pPr>
          </w:p>
        </w:tc>
      </w:tr>
    </w:tbl>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cs="仿宋_GB2312"/>
          <w:b w:val="0"/>
          <w:bCs w:val="0"/>
          <w:i w:val="0"/>
          <w:caps w:val="0"/>
          <w:color w:val="000000"/>
          <w:spacing w:val="0"/>
          <w:sz w:val="24"/>
          <w:szCs w:val="24"/>
          <w:shd w:val="clear" w:color="0A0000" w:fill="FFFFFF"/>
          <w:lang w:val="en-US" w:eastAsia="zh-CN"/>
        </w:rPr>
        <w:t>本表范围为本辖区2009年5月1日以来，建设的县级或二级甲等以上医院目录及其抗震设计说明。如已开展地震安全性评价，请在备注中说明。</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r>
        <w:rPr>
          <w:rStyle w:val="4"/>
          <w:rFonts w:hint="eastAsia" w:ascii="宋体" w:hAnsi="宋体" w:eastAsia="宋体" w:cs="宋体"/>
          <w:i w:val="0"/>
          <w:caps w:val="0"/>
          <w:color w:val="000000"/>
          <w:spacing w:val="0"/>
          <w:sz w:val="27"/>
          <w:szCs w:val="27"/>
          <w:shd w:val="clear" w:color="080000" w:fill="FFFFFF"/>
          <w:lang w:eastAsia="zh-CN"/>
        </w:rPr>
        <w:t>附件</w:t>
      </w:r>
      <w:r>
        <w:rPr>
          <w:rStyle w:val="4"/>
          <w:rFonts w:hint="eastAsia" w:ascii="宋体" w:hAnsi="宋体" w:eastAsia="宋体" w:cs="宋体"/>
          <w:i w:val="0"/>
          <w:caps w:val="0"/>
          <w:color w:val="000000"/>
          <w:spacing w:val="0"/>
          <w:sz w:val="27"/>
          <w:szCs w:val="27"/>
          <w:shd w:val="clear" w:color="080000" w:fill="FFFFFF"/>
          <w:lang w:val="en-US" w:eastAsia="zh-CN"/>
        </w:rPr>
        <w:t>7</w:t>
      </w:r>
      <w:r>
        <w:rPr>
          <w:rStyle w:val="4"/>
          <w:rFonts w:hint="eastAsia" w:ascii="宋体" w:hAnsi="宋体" w:eastAsia="宋体" w:cs="宋体"/>
          <w:i w:val="0"/>
          <w:caps w:val="0"/>
          <w:color w:val="000000"/>
          <w:spacing w:val="0"/>
          <w:sz w:val="27"/>
          <w:szCs w:val="27"/>
          <w:shd w:val="clear" w:color="080000" w:fill="FFFFFF"/>
          <w:lang w:eastAsia="zh-CN"/>
        </w:rPr>
        <w:t>：</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firstLine="4859" w:firstLineChars="1100"/>
        <w:jc w:val="both"/>
        <w:textAlignment w:val="top"/>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pPr>
      <w:r>
        <w:rPr>
          <w:rStyle w:val="4"/>
          <w:rFonts w:hint="eastAsia" w:ascii="方正小标宋_GBK" w:hAnsi="方正小标宋_GBK" w:eastAsia="方正小标宋_GBK" w:cs="方正小标宋_GBK"/>
          <w:i w:val="0"/>
          <w:caps w:val="0"/>
          <w:color w:val="000000"/>
          <w:spacing w:val="0"/>
          <w:sz w:val="44"/>
          <w:szCs w:val="44"/>
          <w:shd w:val="clear" w:color="080000" w:fill="FFFFFF"/>
          <w:lang w:eastAsia="zh-CN"/>
        </w:rPr>
        <w:t>防震减灾工作联系方式</w:t>
      </w: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 xml:space="preserve">填报单位：                                          </w:t>
      </w:r>
      <w:r>
        <w:rPr>
          <w:rStyle w:val="4"/>
          <w:rFonts w:hint="eastAsia" w:ascii="仿宋_GB2312" w:hAnsi="仿宋_GB2312" w:cs="仿宋_GB2312"/>
          <w:b w:val="0"/>
          <w:bCs w:val="0"/>
          <w:i w:val="0"/>
          <w:caps w:val="0"/>
          <w:color w:val="000000"/>
          <w:spacing w:val="0"/>
          <w:sz w:val="32"/>
          <w:szCs w:val="32"/>
          <w:shd w:val="clear" w:color="0A0000" w:fill="FFFFFF"/>
          <w:lang w:val="en-US" w:eastAsia="zh-CN"/>
        </w:rPr>
        <w:t xml:space="preserve">   </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填报日期：</w:t>
      </w:r>
    </w:p>
    <w:tbl>
      <w:tblPr>
        <w:tblpPr w:leftFromText="180" w:rightFromText="180" w:vertAnchor="text" w:horzAnchor="page" w:tblpX="1522" w:tblpY="101"/>
        <w:tblOverlap w:val="never"/>
        <w:tblW w:w="14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868"/>
        <w:gridCol w:w="1867"/>
        <w:gridCol w:w="2755"/>
        <w:gridCol w:w="5648"/>
      </w:tblGrid>
      <w:tr>
        <w:trPr>
          <w:trHeight w:val="1070" w:hRule="atLeast"/>
        </w:trPr>
        <w:tc>
          <w:tcPr>
            <w:tcW w:w="1878"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1868"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姓</w:t>
            </w:r>
            <w:r>
              <w:rPr>
                <w:rStyle w:val="4"/>
                <w:rFonts w:hint="eastAsia" w:ascii="仿宋_GB2312" w:hAnsi="仿宋_GB2312" w:cs="仿宋_GB2312"/>
                <w:b w:val="0"/>
                <w:bCs w:val="0"/>
                <w:i w:val="0"/>
                <w:caps w:val="0"/>
                <w:color w:val="000000"/>
                <w:spacing w:val="0"/>
                <w:sz w:val="32"/>
                <w:szCs w:val="32"/>
                <w:shd w:val="clear" w:color="0A0000" w:fill="FFFFFF"/>
                <w:lang w:val="en-US" w:eastAsia="zh-CN"/>
              </w:rPr>
              <w:t xml:space="preserve">  </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名</w:t>
            </w:r>
          </w:p>
        </w:tc>
        <w:tc>
          <w:tcPr>
            <w:tcW w:w="1867"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职</w:t>
            </w:r>
            <w:r>
              <w:rPr>
                <w:rStyle w:val="4"/>
                <w:rFonts w:hint="eastAsia" w:ascii="仿宋_GB2312" w:hAnsi="仿宋_GB2312" w:cs="仿宋_GB2312"/>
                <w:b w:val="0"/>
                <w:bCs w:val="0"/>
                <w:i w:val="0"/>
                <w:caps w:val="0"/>
                <w:color w:val="000000"/>
                <w:spacing w:val="0"/>
                <w:sz w:val="32"/>
                <w:szCs w:val="32"/>
                <w:shd w:val="clear" w:color="0A0000" w:fill="FFFFFF"/>
                <w:lang w:val="en-US" w:eastAsia="zh-CN"/>
              </w:rPr>
              <w:t xml:space="preserve">  </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务</w:t>
            </w:r>
          </w:p>
        </w:tc>
        <w:tc>
          <w:tcPr>
            <w:tcW w:w="2755"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cs="仿宋_GB2312"/>
                <w:b w:val="0"/>
                <w:bCs w:val="0"/>
                <w:i w:val="0"/>
                <w:caps w:val="0"/>
                <w:color w:val="000000"/>
                <w:spacing w:val="0"/>
                <w:sz w:val="32"/>
                <w:szCs w:val="32"/>
                <w:shd w:val="clear" w:color="0A0000" w:fill="FFFFFF"/>
                <w:lang w:val="en-US" w:eastAsia="zh-CN"/>
              </w:rPr>
              <w:t>所在科室</w:t>
            </w:r>
          </w:p>
        </w:tc>
        <w:tc>
          <w:tcPr>
            <w:tcW w:w="5648" w:type="dxa"/>
            <w:vAlign w:val="center"/>
          </w:tcPr>
          <w:p>
            <w:pPr>
              <w:pStyle w:val="2"/>
              <w:widowControl/>
              <w:wordWrap/>
              <w:adjustRightInd/>
              <w:snapToGrid/>
              <w:spacing w:before="0" w:beforeAutospacing="0" w:after="0" w:afterAutospacing="0" w:line="400" w:lineRule="exac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cs="仿宋_GB2312"/>
                <w:b w:val="0"/>
                <w:bCs w:val="0"/>
                <w:i w:val="0"/>
                <w:caps w:val="0"/>
                <w:color w:val="000000"/>
                <w:spacing w:val="0"/>
                <w:sz w:val="32"/>
                <w:szCs w:val="32"/>
                <w:shd w:val="clear" w:color="0A0000" w:fill="FFFFFF"/>
                <w:lang w:val="en-US" w:eastAsia="zh-CN"/>
              </w:rPr>
              <w:t>联系方式</w:t>
            </w:r>
          </w:p>
        </w:tc>
      </w:tr>
      <w:tr>
        <w:trPr>
          <w:trHeight w:val="681" w:hRule="atLeast"/>
        </w:trPr>
        <w:tc>
          <w:tcPr>
            <w:tcW w:w="187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分管领导</w:t>
            </w:r>
          </w:p>
        </w:tc>
        <w:tc>
          <w:tcPr>
            <w:tcW w:w="186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186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275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564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r>
      <w:tr>
        <w:trPr>
          <w:trHeight w:val="691" w:hRule="atLeast"/>
        </w:trPr>
        <w:tc>
          <w:tcPr>
            <w:tcW w:w="187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cs="仿宋_GB2312"/>
                <w:b w:val="0"/>
                <w:bCs w:val="0"/>
                <w:i w:val="0"/>
                <w:caps w:val="0"/>
                <w:color w:val="000000"/>
                <w:spacing w:val="0"/>
                <w:sz w:val="32"/>
                <w:szCs w:val="32"/>
                <w:shd w:val="clear" w:color="0A0000" w:fill="FFFFFF"/>
                <w:lang w:val="en-US" w:eastAsia="zh-CN"/>
              </w:rPr>
              <w:t>科室</w:t>
            </w:r>
            <w:r>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t>负责人</w:t>
            </w:r>
          </w:p>
        </w:tc>
        <w:tc>
          <w:tcPr>
            <w:tcW w:w="186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186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275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564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r>
      <w:tr>
        <w:trPr>
          <w:trHeight w:val="691" w:hRule="atLeast"/>
        </w:trPr>
        <w:tc>
          <w:tcPr>
            <w:tcW w:w="187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cs="仿宋_GB2312"/>
                <w:b w:val="0"/>
                <w:bCs w:val="0"/>
                <w:i w:val="0"/>
                <w:caps w:val="0"/>
                <w:color w:val="000000"/>
                <w:spacing w:val="0"/>
                <w:sz w:val="32"/>
                <w:szCs w:val="32"/>
                <w:shd w:val="clear" w:color="0A0000" w:fill="FFFFFF"/>
                <w:lang w:val="en-US" w:eastAsia="zh-CN"/>
              </w:rPr>
            </w:pPr>
            <w:r>
              <w:rPr>
                <w:rStyle w:val="4"/>
                <w:rFonts w:hint="eastAsia" w:ascii="仿宋_GB2312" w:hAnsi="仿宋_GB2312" w:cs="仿宋_GB2312"/>
                <w:b w:val="0"/>
                <w:bCs w:val="0"/>
                <w:i w:val="0"/>
                <w:caps w:val="0"/>
                <w:color w:val="000000"/>
                <w:spacing w:val="0"/>
                <w:sz w:val="32"/>
                <w:szCs w:val="32"/>
                <w:shd w:val="clear" w:color="0A0000" w:fill="FFFFFF"/>
                <w:lang w:val="en-US" w:eastAsia="zh-CN"/>
              </w:rPr>
              <w:t>联系人</w:t>
            </w:r>
          </w:p>
        </w:tc>
        <w:tc>
          <w:tcPr>
            <w:tcW w:w="186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1867"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2755"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c>
          <w:tcPr>
            <w:tcW w:w="5648" w:type="dxa"/>
            <w:vAlign w:val="center"/>
          </w:tcPr>
          <w:p>
            <w:pPr>
              <w:pStyle w:val="2"/>
              <w:widowControl/>
              <w:wordWrap/>
              <w:spacing w:before="0" w:beforeAutospacing="0" w:after="0" w:afterAutospacing="0" w:line="540" w:lineRule="atLeast"/>
              <w:ind w:right="0"/>
              <w:jc w:val="center"/>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tc>
      </w:tr>
    </w:tbl>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right="0"/>
        <w:textAlignment w:val="top"/>
        <w:rPr>
          <w:rStyle w:val="4"/>
          <w:rFonts w:hint="eastAsia" w:ascii="仿宋_GB2312" w:hAnsi="仿宋_GB2312" w:eastAsia="仿宋_GB2312" w:cs="仿宋_GB2312"/>
          <w:b w:val="0"/>
          <w:bCs w:val="0"/>
          <w:i w:val="0"/>
          <w:caps w:val="0"/>
          <w:color w:val="000000"/>
          <w:spacing w:val="0"/>
          <w:sz w:val="32"/>
          <w:szCs w:val="32"/>
          <w:shd w:val="clear" w:color="0A0000" w:fill="FFFFFF"/>
          <w:lang w:val="en-US" w:eastAsia="zh-CN"/>
        </w:rPr>
      </w:pPr>
    </w:p>
    <w:p>
      <w:pPr>
        <w:pStyle w:val="2"/>
        <w:widowControl/>
        <w:pBdr>
          <w:top w:val="none" w:color="auto" w:sz="0" w:space="0"/>
          <w:left w:val="none" w:color="auto" w:sz="0" w:space="0"/>
          <w:bottom w:val="none" w:color="auto" w:sz="0" w:space="0"/>
          <w:right w:val="none" w:color="auto" w:sz="0" w:space="0"/>
        </w:pBdr>
        <w:shd w:val="clear" w:color="060000" w:fill="FFFFFF"/>
        <w:wordWrap/>
        <w:spacing w:before="0" w:beforeAutospacing="0" w:after="0" w:afterAutospacing="0" w:line="540" w:lineRule="atLeast"/>
        <w:ind w:left="0" w:right="0" w:firstLine="0"/>
        <w:textAlignment w:val="top"/>
        <w:rPr>
          <w:rStyle w:val="4"/>
          <w:rFonts w:hint="eastAsia" w:ascii="宋体" w:hAnsi="宋体" w:eastAsia="宋体" w:cs="宋体"/>
          <w:i w:val="0"/>
          <w:caps w:val="0"/>
          <w:color w:val="000000"/>
          <w:spacing w:val="0"/>
          <w:sz w:val="27"/>
          <w:szCs w:val="27"/>
          <w:shd w:val="clear" w:color="080000" w:fill="FFFFFF"/>
          <w:lang w:eastAsia="zh-CN"/>
        </w:rPr>
      </w:pPr>
    </w:p>
    <w:p>
      <w:pPr>
        <w:numPr>
          <w:numId w:val="0"/>
        </w:numPr>
        <w:rPr>
          <w:rFonts w:hint="default"/>
          <w:lang w:val="en-US" w:eastAsia="zh-CN"/>
        </w:rPr>
      </w:pPr>
    </w:p>
    <w:sectPr>
      <w:pgSz w:w="16838" w:h="11906" w:orient="landscape"/>
      <w:pgMar w:top="1417" w:right="1417" w:bottom="1417" w:left="1417" w:header="851" w:footer="992" w:gutter="0"/>
      <w:cols w:space="720" w:num="1"/>
      <w:rtlGutter w:val="0"/>
      <w:docGrid w:type="lines" w:linePitch="45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仿宋_GB2312">
    <w:altName w:val="仿宋"/>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魏碑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12561628">
    <w:nsid w:val="12A14FDC"/>
    <w:multiLevelType w:val="singleLevel"/>
    <w:tmpl w:val="12A14FDC"/>
    <w:lvl w:ilvl="0" w:tentative="1">
      <w:start w:val="1"/>
      <w:numFmt w:val="chineseCounting"/>
      <w:suff w:val="nothing"/>
      <w:lvlText w:val="%1、"/>
      <w:lvlJc w:val="left"/>
      <w:rPr>
        <w:rFonts w:hint="eastAsia"/>
      </w:rPr>
    </w:lvl>
  </w:abstractNum>
  <w:num w:numId="1">
    <w:abstractNumId w:val="3125616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0"/>
  <w:bordersDoNotSurroundFooter w:val="0"/>
  <w:documentProtection w:enforcement="0"/>
  <w:defaultTabStop w:val="420"/>
  <w:drawingGridVerticalSpacing w:val="22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3">
    <w:name w:val="Default Paragraph Font"/>
    <w:semiHidden/>
    <w:uiPriority w:val="0"/>
  </w:style>
  <w:style w:type="paragraph" w:styleId="2">
    <w:name w:val="Normal (Web)"/>
    <w:basedOn w:val="1"/>
    <w:qFormat/>
    <w:uiPriority w:val="0"/>
    <w:pPr>
      <w:spacing w:before="0" w:beforeAutospacing="1" w:after="0" w:afterAutospacing="1"/>
      <w:ind w:left="0" w:right="0"/>
      <w:jc w:val="left"/>
    </w:pPr>
    <w:rPr>
      <w:kern w:val="0"/>
      <w:sz w:val="24"/>
      <w:lang w:val="en-US" w:eastAsia="zh-CN"/>
    </w:rPr>
  </w:style>
  <w:style w:type="character" w:styleId="4">
    <w:name w:val="Strong"/>
    <w:basedOn w:val="3"/>
    <w:qFormat/>
    <w:uiPriority w:val="0"/>
    <w:rPr>
      <w:b/>
    </w:rPr>
  </w:style>
  <w:style w:type="character" w:styleId="5">
    <w:name w:val="Hyperlink"/>
    <w:basedOn w:val="3"/>
    <w:qFormat/>
    <w:uiPriority w:val="0"/>
    <w:rPr>
      <w:color w:val="0000FF"/>
      <w:u w:val="single"/>
    </w:rPr>
  </w:style>
  <w:style w:type="paragraph" w:customStyle="1" w:styleId="6">
    <w:name w:val="p0"/>
    <w:basedOn w:val="1"/>
    <w:qFormat/>
    <w:uiPriority w:val="0"/>
    <w:pPr>
      <w:widowControl/>
    </w:pPr>
    <w:rPr>
      <w:rFonts w:ascii="Times New Roman" w:hAnsi="Times New Roman" w:eastAsia="宋体" w:cs="Times New Roman"/>
      <w:kern w:val="0"/>
      <w:sz w:val="32"/>
      <w:szCs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customXml" Target="../customXml/item1.xml"/><Relationship Id="rId14"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2020-04-01T03:21:00Z</dcterms:created>
  <dc:creator>Administrator</dc:creator>
  <cp:lastModifiedBy>admin</cp:lastModifiedBy>
  <cp:lastPrinted>2020-04-14T01:42:00Z</cp:lastPrinted>
  <dcterms:modified xsi:type="dcterms:W3CDTF">2020-04-14T02:12:41Z</dcterms:modified>
  <dc:title>信阳市应急管理局</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