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i w:val="0"/>
          <w:color w:val="000000"/>
          <w:sz w:val="32"/>
          <w:szCs w:val="32"/>
          <w:u w:val="none"/>
          <w:lang w:val="en-US" w:eastAsia="zh-CN"/>
        </w:rPr>
        <w:t>3</w:t>
      </w:r>
    </w:p>
    <w:tbl>
      <w:tblPr>
        <w:tblW w:w="12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667"/>
        <w:gridCol w:w="6593"/>
        <w:gridCol w:w="3078"/>
        <w:gridCol w:w="2542"/>
      </w:tblGrid>
      <w:tr>
        <w:trPr>
          <w:trHeight w:val="808" w:hRule="atLeast"/>
        </w:trPr>
        <w:tc>
          <w:tcPr>
            <w:tcW w:w="12880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36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6"/>
                <w:u w:val="none"/>
                <w:lang w:eastAsia="zh-CN"/>
              </w:rPr>
              <w:t>危险化学品重大危险源企业风险隐患排查统计表</w:t>
            </w:r>
          </w:p>
        </w:tc>
      </w:tr>
      <w:tr>
        <w:trPr>
          <w:trHeight w:val="549" w:hRule="atLeast"/>
        </w:trPr>
        <w:tc>
          <w:tcPr>
            <w:tcW w:w="12880" w:type="dxa"/>
            <w:gridSpan w:val="4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 xml:space="preserve">企业名称：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检查督导时间：</w:t>
            </w:r>
          </w:p>
          <w:p>
            <w:pPr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756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隐患描述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是否是重大隐患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处置建议</w:t>
            </w:r>
            <w:bookmarkEnd w:id="0"/>
          </w:p>
        </w:tc>
      </w:tr>
      <w:tr>
        <w:trPr>
          <w:trHeight w:val="6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608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65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6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6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6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68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703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6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703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6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rPr>
          <w:trHeight w:val="703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6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5840" w:h="12240" w:orient="landscape"/>
      <w:pgMar w:top="1803" w:right="1440" w:bottom="1803" w:left="1440" w:header="720" w:footer="720" w:gutter="0"/>
      <w:paperSrc w:first="0" w:oth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2020-05-21T00:12:00Z</dcterms:created>
  <cp:lastModifiedBy>梁红星</cp:lastModifiedBy>
  <dcterms:modified xsi:type="dcterms:W3CDTF">2020-05-21T02:26:17Z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