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6"/>
        <w:rPr>
          <w:rFonts w:ascii="Times New Roman"/>
          <w:sz w:val="17"/>
        </w:rPr>
      </w:pPr>
    </w:p>
    <w:p>
      <w:pPr>
        <w:spacing w:before="51"/>
        <w:ind w:left="747" w:right="0" w:firstLine="0"/>
        <w:jc w:val="left"/>
        <w:rPr>
          <w:rFonts w:hint="eastAsia" w:ascii="宋体" w:hAnsi="宋体" w:eastAsia="宋体" w:cs="宋体"/>
          <w:b/>
          <w:bCs/>
          <w:sz w:val="52"/>
        </w:rPr>
      </w:pPr>
      <w:r>
        <w:rPr>
          <w:rFonts w:hint="eastAsia" w:ascii="宋体" w:hAnsi="宋体" w:eastAsia="宋体" w:cs="宋体"/>
          <w:b/>
          <w:bCs/>
          <w:sz w:val="52"/>
          <w:lang w:eastAsia="zh-CN"/>
        </w:rPr>
        <w:t>危险化学品生产经营企业</w:t>
      </w:r>
      <w:r>
        <w:rPr>
          <w:rFonts w:hint="eastAsia" w:ascii="宋体" w:hAnsi="宋体" w:eastAsia="宋体" w:cs="宋体"/>
          <w:b/>
          <w:bCs/>
          <w:sz w:val="52"/>
        </w:rPr>
        <w:t>执法检查</w:t>
      </w:r>
    </w:p>
    <w:p>
      <w:pPr>
        <w:pStyle w:val="2"/>
        <w:rPr>
          <w:rFonts w:ascii="PMingLiU"/>
          <w:sz w:val="62"/>
        </w:rPr>
      </w:pPr>
    </w:p>
    <w:p>
      <w:pPr>
        <w:pStyle w:val="2"/>
        <w:spacing w:before="3"/>
        <w:rPr>
          <w:rFonts w:hint="eastAsia" w:ascii="黑体" w:hAnsi="黑体" w:eastAsia="黑体" w:cs="黑体"/>
          <w:b w:val="0"/>
          <w:bCs w:val="0"/>
          <w:sz w:val="41"/>
        </w:rPr>
      </w:pPr>
    </w:p>
    <w:p>
      <w:pPr>
        <w:spacing w:before="0" w:line="319" w:lineRule="auto"/>
        <w:ind w:left="4227" w:right="4236" w:firstLine="0"/>
        <w:jc w:val="both"/>
        <w:rPr>
          <w:rFonts w:hint="eastAsia" w:ascii="黑体" w:hAnsi="黑体" w:eastAsia="黑体" w:cs="黑体"/>
          <w:b w:val="0"/>
          <w:bCs w:val="0"/>
          <w:sz w:val="84"/>
        </w:rPr>
      </w:pPr>
      <w:r>
        <w:rPr>
          <w:rFonts w:hint="eastAsia" w:ascii="黑体" w:hAnsi="黑体" w:eastAsia="黑体" w:cs="黑体"/>
          <w:b w:val="0"/>
          <w:bCs w:val="0"/>
          <w:sz w:val="84"/>
        </w:rPr>
        <w:t>工作手册</w:t>
      </w:r>
    </w:p>
    <w:p>
      <w:pPr>
        <w:spacing w:after="0" w:line="319" w:lineRule="auto"/>
        <w:jc w:val="both"/>
        <w:rPr>
          <w:rFonts w:hint="eastAsia" w:ascii="PMingLiU" w:eastAsia="PMingLiU"/>
          <w:sz w:val="84"/>
        </w:rPr>
        <w:sectPr>
          <w:type w:val="continuous"/>
          <w:pgSz w:w="11910" w:h="16840"/>
          <w:pgMar w:top="1580" w:right="1300" w:bottom="280" w:left="1300" w:header="720" w:footer="720" w:gutter="0"/>
          <w:cols w:space="720" w:num="1"/>
        </w:sectPr>
      </w:pPr>
    </w:p>
    <w:p>
      <w:pPr>
        <w:pStyle w:val="2"/>
        <w:rPr>
          <w:rFonts w:ascii="PMingLiU"/>
          <w:sz w:val="20"/>
        </w:rPr>
      </w:pPr>
    </w:p>
    <w:p>
      <w:pPr>
        <w:pStyle w:val="2"/>
        <w:rPr>
          <w:rFonts w:ascii="PMingLiU"/>
          <w:sz w:val="20"/>
        </w:rPr>
      </w:pPr>
    </w:p>
    <w:p>
      <w:pPr>
        <w:pStyle w:val="2"/>
        <w:spacing w:before="13"/>
        <w:rPr>
          <w:rFonts w:ascii="PMingLiU"/>
          <w:sz w:val="18"/>
        </w:rPr>
      </w:pPr>
    </w:p>
    <w:p>
      <w:pPr>
        <w:pStyle w:val="2"/>
        <w:spacing w:before="55"/>
        <w:ind w:left="4235" w:right="4235"/>
        <w:jc w:val="center"/>
        <w:rPr>
          <w:rFonts w:hint="eastAsia" w:ascii="黑体" w:eastAsia="黑体"/>
          <w:sz w:val="36"/>
          <w:szCs w:val="36"/>
        </w:rPr>
      </w:pPr>
      <w:r>
        <w:rPr>
          <w:rFonts w:hint="eastAsia" w:ascii="黑体" w:eastAsia="黑体"/>
          <w:sz w:val="36"/>
          <w:szCs w:val="36"/>
        </w:rPr>
        <w:t>目 录</w:t>
      </w:r>
    </w:p>
    <w:p>
      <w:pPr>
        <w:pStyle w:val="2"/>
        <w:rPr>
          <w:rFonts w:ascii="黑体"/>
        </w:rPr>
      </w:pPr>
    </w:p>
    <w:p>
      <w:pPr>
        <w:pStyle w:val="2"/>
        <w:spacing w:before="10"/>
        <w:rPr>
          <w:rFonts w:ascii="黑体"/>
        </w:rPr>
      </w:pPr>
    </w:p>
    <w:p>
      <w:pPr>
        <w:pStyle w:val="6"/>
        <w:numPr>
          <w:numId w:val="0"/>
        </w:numPr>
        <w:tabs>
          <w:tab w:val="left" w:pos="1079"/>
        </w:tabs>
        <w:spacing w:before="0" w:after="0" w:line="240" w:lineRule="auto"/>
        <w:ind w:left="755" w:leftChars="0" w:right="0"/>
        <w:jc w:val="left"/>
        <w:rPr>
          <w:rFonts w:hint="eastAsia" w:ascii="仿宋" w:hAnsi="仿宋" w:eastAsia="仿宋" w:cs="仿宋"/>
          <w:sz w:val="32"/>
        </w:rPr>
      </w:pPr>
      <w:r>
        <w:rPr>
          <w:rFonts w:hint="eastAsia" w:ascii="仿宋" w:hAnsi="仿宋" w:eastAsia="仿宋" w:cs="仿宋"/>
          <w:sz w:val="32"/>
          <w:lang w:val="en-US" w:eastAsia="zh-CN"/>
        </w:rPr>
        <w:t>1、</w:t>
      </w:r>
      <w:r>
        <w:rPr>
          <w:rFonts w:hint="eastAsia" w:ascii="仿宋" w:hAnsi="仿宋" w:eastAsia="仿宋" w:cs="仿宋"/>
          <w:sz w:val="32"/>
        </w:rPr>
        <w:t>企业落实安全生产主体责任检查要点表</w:t>
      </w:r>
    </w:p>
    <w:p>
      <w:pPr>
        <w:pStyle w:val="6"/>
        <w:numPr>
          <w:numId w:val="0"/>
        </w:numPr>
        <w:tabs>
          <w:tab w:val="left" w:pos="1079"/>
        </w:tabs>
        <w:spacing w:before="210" w:after="0" w:line="240" w:lineRule="auto"/>
        <w:ind w:left="755" w:leftChars="0" w:right="0"/>
        <w:jc w:val="left"/>
        <w:rPr>
          <w:rFonts w:hint="eastAsia" w:ascii="仿宋" w:hAnsi="仿宋" w:eastAsia="仿宋" w:cs="仿宋"/>
          <w:sz w:val="32"/>
        </w:rPr>
      </w:pPr>
      <w:r>
        <w:rPr>
          <w:rFonts w:hint="eastAsia" w:ascii="仿宋" w:hAnsi="仿宋" w:eastAsia="仿宋" w:cs="仿宋"/>
          <w:w w:val="95"/>
          <w:sz w:val="32"/>
          <w:lang w:val="en-US" w:eastAsia="zh-CN"/>
        </w:rPr>
        <w:t>2、</w:t>
      </w:r>
      <w:r>
        <w:rPr>
          <w:rFonts w:hint="eastAsia" w:ascii="仿宋" w:hAnsi="仿宋" w:eastAsia="仿宋" w:cs="仿宋"/>
          <w:w w:val="95"/>
          <w:sz w:val="32"/>
        </w:rPr>
        <w:t>双重预防体系建设执法内容和依据</w:t>
      </w:r>
    </w:p>
    <w:p>
      <w:pPr>
        <w:pStyle w:val="6"/>
        <w:numPr>
          <w:numId w:val="0"/>
        </w:numPr>
        <w:tabs>
          <w:tab w:val="left" w:pos="1079"/>
        </w:tabs>
        <w:spacing w:before="209" w:after="0" w:line="240" w:lineRule="auto"/>
        <w:ind w:left="755" w:leftChars="0" w:right="0"/>
        <w:jc w:val="left"/>
        <w:rPr>
          <w:rFonts w:hint="eastAsia" w:ascii="仿宋" w:hAnsi="仿宋" w:eastAsia="仿宋" w:cs="仿宋"/>
          <w:sz w:val="32"/>
        </w:rPr>
      </w:pPr>
      <w:r>
        <w:rPr>
          <w:rFonts w:hint="eastAsia" w:ascii="仿宋" w:hAnsi="仿宋" w:eastAsia="仿宋" w:cs="仿宋"/>
          <w:sz w:val="32"/>
          <w:lang w:val="en-US" w:eastAsia="zh-CN"/>
        </w:rPr>
        <w:t>3、</w:t>
      </w:r>
      <w:r>
        <w:rPr>
          <w:rFonts w:hint="eastAsia" w:ascii="仿宋" w:hAnsi="仿宋" w:eastAsia="仿宋" w:cs="仿宋"/>
          <w:sz w:val="32"/>
        </w:rPr>
        <w:t>危险化学品企业安全生产执法检查重点事项表</w:t>
      </w:r>
    </w:p>
    <w:p>
      <w:pPr>
        <w:pStyle w:val="6"/>
        <w:numPr>
          <w:numId w:val="0"/>
        </w:numPr>
        <w:tabs>
          <w:tab w:val="left" w:pos="1079"/>
        </w:tabs>
        <w:spacing w:before="209" w:after="0" w:line="240" w:lineRule="auto"/>
        <w:ind w:left="755" w:leftChars="0" w:right="0"/>
        <w:jc w:val="left"/>
        <w:rPr>
          <w:sz w:val="32"/>
        </w:rPr>
      </w:pPr>
    </w:p>
    <w:p>
      <w:pPr>
        <w:pStyle w:val="6"/>
        <w:numPr>
          <w:numId w:val="0"/>
        </w:numPr>
        <w:tabs>
          <w:tab w:val="left" w:pos="1079"/>
        </w:tabs>
        <w:spacing w:before="209" w:after="0" w:line="240" w:lineRule="auto"/>
        <w:ind w:left="755" w:leftChars="0" w:right="0"/>
        <w:jc w:val="left"/>
        <w:rPr>
          <w:sz w:val="32"/>
        </w:rPr>
      </w:pPr>
    </w:p>
    <w:p>
      <w:pPr>
        <w:pStyle w:val="6"/>
        <w:numPr>
          <w:numId w:val="0"/>
        </w:numPr>
        <w:tabs>
          <w:tab w:val="left" w:pos="1079"/>
        </w:tabs>
        <w:spacing w:before="209" w:after="0" w:line="240" w:lineRule="auto"/>
        <w:ind w:left="755" w:leftChars="0" w:right="0"/>
        <w:jc w:val="left"/>
        <w:rPr>
          <w:sz w:val="32"/>
        </w:rPr>
      </w:pPr>
    </w:p>
    <w:p>
      <w:pPr>
        <w:pStyle w:val="6"/>
        <w:numPr>
          <w:numId w:val="0"/>
        </w:numPr>
        <w:tabs>
          <w:tab w:val="left" w:pos="1079"/>
        </w:tabs>
        <w:spacing w:before="209" w:after="0" w:line="240" w:lineRule="auto"/>
        <w:ind w:left="755" w:leftChars="0" w:right="0"/>
        <w:jc w:val="left"/>
        <w:rPr>
          <w:sz w:val="32"/>
        </w:rPr>
      </w:pPr>
    </w:p>
    <w:p>
      <w:pPr>
        <w:pStyle w:val="6"/>
        <w:numPr>
          <w:numId w:val="0"/>
        </w:numPr>
        <w:tabs>
          <w:tab w:val="left" w:pos="1079"/>
        </w:tabs>
        <w:spacing w:before="209" w:after="0" w:line="240" w:lineRule="auto"/>
        <w:ind w:left="755" w:leftChars="0" w:right="0"/>
        <w:jc w:val="left"/>
        <w:rPr>
          <w:sz w:val="32"/>
        </w:rPr>
      </w:pPr>
    </w:p>
    <w:p>
      <w:pPr>
        <w:pStyle w:val="6"/>
        <w:numPr>
          <w:numId w:val="0"/>
        </w:numPr>
        <w:tabs>
          <w:tab w:val="left" w:pos="1079"/>
        </w:tabs>
        <w:spacing w:before="209" w:after="0" w:line="240" w:lineRule="auto"/>
        <w:ind w:left="755" w:leftChars="0" w:right="0"/>
        <w:jc w:val="left"/>
        <w:rPr>
          <w:sz w:val="32"/>
        </w:rPr>
      </w:pPr>
    </w:p>
    <w:p>
      <w:pPr>
        <w:pStyle w:val="6"/>
        <w:numPr>
          <w:numId w:val="0"/>
        </w:numPr>
        <w:tabs>
          <w:tab w:val="left" w:pos="1079"/>
        </w:tabs>
        <w:spacing w:before="209" w:after="0" w:line="240" w:lineRule="auto"/>
        <w:ind w:left="755" w:leftChars="0" w:right="0"/>
        <w:jc w:val="left"/>
        <w:rPr>
          <w:sz w:val="32"/>
        </w:rPr>
      </w:pPr>
    </w:p>
    <w:p>
      <w:pPr>
        <w:pStyle w:val="6"/>
        <w:numPr>
          <w:numId w:val="0"/>
        </w:numPr>
        <w:tabs>
          <w:tab w:val="left" w:pos="1079"/>
        </w:tabs>
        <w:spacing w:before="209" w:after="0" w:line="240" w:lineRule="auto"/>
        <w:ind w:left="755" w:leftChars="0" w:right="0"/>
        <w:jc w:val="left"/>
        <w:rPr>
          <w:sz w:val="32"/>
        </w:rPr>
      </w:pPr>
    </w:p>
    <w:p>
      <w:pPr>
        <w:pStyle w:val="2"/>
        <w:rPr>
          <w:sz w:val="20"/>
        </w:rPr>
      </w:pPr>
    </w:p>
    <w:p>
      <w:pPr>
        <w:pStyle w:val="2"/>
        <w:rPr>
          <w:sz w:val="20"/>
        </w:rPr>
      </w:pPr>
    </w:p>
    <w:p>
      <w:pPr>
        <w:pStyle w:val="2"/>
        <w:spacing w:before="4"/>
        <w:rPr>
          <w:sz w:val="28"/>
        </w:rPr>
      </w:pPr>
    </w:p>
    <w:p>
      <w:pPr>
        <w:pStyle w:val="4"/>
        <w:numPr>
          <w:ilvl w:val="1"/>
          <w:numId w:val="1"/>
        </w:numPr>
        <w:tabs>
          <w:tab w:val="left" w:pos="4146"/>
        </w:tabs>
        <w:spacing w:before="56" w:after="0" w:line="240" w:lineRule="auto"/>
        <w:ind w:left="4145" w:right="0" w:hanging="4146"/>
        <w:jc w:val="left"/>
        <w:rPr>
          <w:rFonts w:hint="eastAsia" w:ascii="宋体" w:hAnsi="宋体" w:eastAsia="宋体" w:cs="宋体"/>
          <w:b/>
          <w:bCs/>
        </w:rPr>
      </w:pPr>
      <w:r>
        <w:rPr>
          <w:rFonts w:hint="eastAsia" w:ascii="宋体" w:hAnsi="宋体" w:eastAsia="宋体" w:cs="宋体"/>
          <w:b/>
          <w:bCs/>
        </w:rPr>
        <w:t>企业落实安全生产主体责任检查要点表</w:t>
      </w:r>
    </w:p>
    <w:p>
      <w:pPr>
        <w:pStyle w:val="2"/>
        <w:rPr>
          <w:rFonts w:ascii="PMingLiU"/>
          <w:sz w:val="20"/>
        </w:rPr>
      </w:pPr>
    </w:p>
    <w:p>
      <w:pPr>
        <w:pStyle w:val="2"/>
        <w:spacing w:before="12"/>
        <w:rPr>
          <w:rFonts w:ascii="PMingLiU"/>
          <w:sz w:val="20"/>
        </w:rPr>
      </w:pPr>
    </w:p>
    <w:tbl>
      <w:tblPr>
        <w:tblW w:w="14459" w:type="dxa"/>
        <w:tblInd w:w="4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9"/>
        <w:gridCol w:w="4640"/>
        <w:gridCol w:w="4281"/>
        <w:gridCol w:w="4599"/>
      </w:tblGrid>
      <w:tr>
        <w:trPr>
          <w:trHeight w:val="550" w:hRule="atLeast"/>
        </w:trPr>
        <w:tc>
          <w:tcPr>
            <w:tcW w:w="939" w:type="dxa"/>
            <w:vAlign w:val="top"/>
          </w:tcPr>
          <w:p>
            <w:pPr>
              <w:pStyle w:val="7"/>
              <w:spacing w:before="127"/>
              <w:ind w:left="209" w:right="200"/>
              <w:jc w:val="center"/>
              <w:rPr>
                <w:rFonts w:hint="eastAsia" w:ascii="黑体" w:eastAsia="黑体"/>
                <w:sz w:val="24"/>
              </w:rPr>
            </w:pPr>
            <w:r>
              <w:rPr>
                <w:rFonts w:hint="eastAsia" w:ascii="黑体" w:eastAsia="黑体"/>
                <w:sz w:val="24"/>
              </w:rPr>
              <w:t>序号</w:t>
            </w:r>
          </w:p>
        </w:tc>
        <w:tc>
          <w:tcPr>
            <w:tcW w:w="4640" w:type="dxa"/>
            <w:vAlign w:val="top"/>
          </w:tcPr>
          <w:p>
            <w:pPr>
              <w:pStyle w:val="7"/>
              <w:spacing w:before="127"/>
              <w:ind w:left="1818" w:right="1811"/>
              <w:jc w:val="center"/>
              <w:rPr>
                <w:rFonts w:hint="eastAsia" w:ascii="黑体" w:eastAsia="黑体"/>
                <w:sz w:val="24"/>
              </w:rPr>
            </w:pPr>
            <w:r>
              <w:rPr>
                <w:rFonts w:hint="eastAsia" w:ascii="黑体" w:eastAsia="黑体"/>
                <w:sz w:val="24"/>
              </w:rPr>
              <w:t>主要任务</w:t>
            </w:r>
          </w:p>
        </w:tc>
        <w:tc>
          <w:tcPr>
            <w:tcW w:w="4281" w:type="dxa"/>
            <w:vAlign w:val="top"/>
          </w:tcPr>
          <w:p>
            <w:pPr>
              <w:pStyle w:val="7"/>
              <w:spacing w:before="127"/>
              <w:ind w:left="73" w:right="63"/>
              <w:jc w:val="center"/>
              <w:rPr>
                <w:rFonts w:hint="eastAsia" w:ascii="黑体" w:eastAsia="黑体"/>
                <w:sz w:val="24"/>
              </w:rPr>
            </w:pPr>
            <w:r>
              <w:rPr>
                <w:rFonts w:hint="eastAsia" w:ascii="黑体" w:eastAsia="黑体"/>
                <w:sz w:val="24"/>
              </w:rPr>
              <w:t>检查要点</w:t>
            </w:r>
          </w:p>
        </w:tc>
        <w:tc>
          <w:tcPr>
            <w:tcW w:w="4599" w:type="dxa"/>
            <w:vAlign w:val="top"/>
          </w:tcPr>
          <w:p>
            <w:pPr>
              <w:pStyle w:val="7"/>
              <w:spacing w:before="127"/>
              <w:ind w:left="1799" w:right="1789"/>
              <w:jc w:val="center"/>
              <w:rPr>
                <w:rFonts w:hint="eastAsia" w:ascii="黑体" w:eastAsia="黑体"/>
                <w:sz w:val="24"/>
              </w:rPr>
            </w:pPr>
            <w:r>
              <w:rPr>
                <w:rFonts w:hint="eastAsia" w:ascii="黑体" w:eastAsia="黑体"/>
                <w:sz w:val="24"/>
              </w:rPr>
              <w:t>检查方式</w:t>
            </w:r>
          </w:p>
        </w:tc>
      </w:tr>
      <w:tr>
        <w:trPr>
          <w:trHeight w:val="1800" w:hRule="atLeast"/>
        </w:trPr>
        <w:tc>
          <w:tcPr>
            <w:tcW w:w="939" w:type="dxa"/>
            <w:vAlign w:val="top"/>
          </w:tcPr>
          <w:p>
            <w:pPr>
              <w:pStyle w:val="7"/>
              <w:rPr>
                <w:rFonts w:ascii="PMingLiU"/>
                <w:sz w:val="24"/>
              </w:rPr>
            </w:pPr>
          </w:p>
          <w:p>
            <w:pPr>
              <w:pStyle w:val="7"/>
              <w:spacing w:before="9"/>
              <w:rPr>
                <w:rFonts w:ascii="PMingLiU"/>
                <w:sz w:val="29"/>
              </w:rPr>
            </w:pPr>
          </w:p>
          <w:p>
            <w:pPr>
              <w:pStyle w:val="7"/>
              <w:ind w:left="9"/>
              <w:jc w:val="center"/>
              <w:rPr>
                <w:sz w:val="24"/>
              </w:rPr>
            </w:pPr>
            <w:r>
              <w:rPr>
                <w:sz w:val="24"/>
              </w:rPr>
              <w:t>1</w:t>
            </w:r>
          </w:p>
        </w:tc>
        <w:tc>
          <w:tcPr>
            <w:tcW w:w="4640" w:type="dxa"/>
            <w:vAlign w:val="top"/>
          </w:tcPr>
          <w:p>
            <w:pPr>
              <w:pStyle w:val="7"/>
              <w:spacing w:before="1" w:line="300" w:lineRule="exact"/>
              <w:ind w:left="108" w:right="96"/>
              <w:jc w:val="both"/>
              <w:rPr>
                <w:sz w:val="24"/>
              </w:rPr>
            </w:pPr>
            <w:r>
              <w:rPr>
                <w:sz w:val="24"/>
              </w:rPr>
              <w:t>督促指导企业建立健全从主要负责人到一线岗位员工覆盖所有管理和操作岗位的安全生产责任制，明确企业所有人员承担的安全生产责任，建立企业内部安全生产监督考核机制，推动各个岗位安全生产责任落实到位。</w:t>
            </w:r>
          </w:p>
        </w:tc>
        <w:tc>
          <w:tcPr>
            <w:tcW w:w="4281" w:type="dxa"/>
            <w:vAlign w:val="top"/>
          </w:tcPr>
          <w:p>
            <w:pPr>
              <w:pStyle w:val="7"/>
              <w:spacing w:before="7"/>
              <w:rPr>
                <w:rFonts w:ascii="PMingLiU"/>
                <w:sz w:val="32"/>
              </w:rPr>
            </w:pPr>
          </w:p>
          <w:p>
            <w:pPr>
              <w:pStyle w:val="7"/>
              <w:spacing w:line="235" w:lineRule="auto"/>
              <w:ind w:left="107" w:right="95"/>
              <w:jc w:val="both"/>
              <w:rPr>
                <w:sz w:val="24"/>
              </w:rPr>
            </w:pPr>
            <w:r>
              <w:rPr>
                <w:spacing w:val="-3"/>
                <w:sz w:val="24"/>
              </w:rPr>
              <w:t>建立全员安全生产责任制，明确考核标准和监督考核机制，按照制度规定开展</w:t>
            </w:r>
            <w:r>
              <w:rPr>
                <w:sz w:val="24"/>
              </w:rPr>
              <w:t>安全生产责任制监督考核。</w:t>
            </w:r>
          </w:p>
        </w:tc>
        <w:tc>
          <w:tcPr>
            <w:tcW w:w="4599" w:type="dxa"/>
            <w:vAlign w:val="top"/>
          </w:tcPr>
          <w:p>
            <w:pPr>
              <w:pStyle w:val="7"/>
              <w:numPr>
                <w:ilvl w:val="0"/>
                <w:numId w:val="2"/>
              </w:numPr>
              <w:tabs>
                <w:tab w:val="left" w:pos="351"/>
              </w:tabs>
              <w:spacing w:before="155" w:after="0" w:line="235" w:lineRule="auto"/>
              <w:ind w:left="108" w:right="96" w:firstLine="0"/>
              <w:jc w:val="both"/>
              <w:rPr>
                <w:sz w:val="24"/>
              </w:rPr>
            </w:pPr>
            <w:r>
              <w:rPr>
                <w:sz w:val="24"/>
              </w:rPr>
              <w:t>查阅企业安全生产责任制是否覆盖所有负责人、部门和岗位；是否明确考核标准和监督考核机制。</w:t>
            </w:r>
          </w:p>
          <w:p>
            <w:pPr>
              <w:pStyle w:val="7"/>
              <w:numPr>
                <w:ilvl w:val="0"/>
                <w:numId w:val="2"/>
              </w:numPr>
              <w:tabs>
                <w:tab w:val="left" w:pos="351"/>
              </w:tabs>
              <w:spacing w:before="0" w:after="0" w:line="235" w:lineRule="auto"/>
              <w:ind w:left="108" w:right="96" w:firstLine="0"/>
              <w:jc w:val="left"/>
              <w:rPr>
                <w:sz w:val="24"/>
              </w:rPr>
            </w:pPr>
            <w:r>
              <w:rPr>
                <w:sz w:val="24"/>
              </w:rPr>
              <w:t>查阅按照考核标准和监督考核机制，开展责任制考核的记录。</w:t>
            </w:r>
          </w:p>
        </w:tc>
      </w:tr>
      <w:tr>
        <w:trPr>
          <w:trHeight w:val="1259" w:hRule="atLeast"/>
        </w:trPr>
        <w:tc>
          <w:tcPr>
            <w:tcW w:w="939" w:type="dxa"/>
            <w:vAlign w:val="top"/>
          </w:tcPr>
          <w:p>
            <w:pPr>
              <w:pStyle w:val="7"/>
              <w:spacing w:before="4"/>
              <w:rPr>
                <w:rFonts w:ascii="PMingLiU"/>
                <w:sz w:val="34"/>
              </w:rPr>
            </w:pPr>
          </w:p>
          <w:p>
            <w:pPr>
              <w:pStyle w:val="7"/>
              <w:ind w:left="9"/>
              <w:jc w:val="center"/>
              <w:rPr>
                <w:sz w:val="24"/>
              </w:rPr>
            </w:pPr>
            <w:r>
              <w:rPr>
                <w:sz w:val="24"/>
              </w:rPr>
              <w:t>2</w:t>
            </w:r>
          </w:p>
        </w:tc>
        <w:tc>
          <w:tcPr>
            <w:tcW w:w="4640" w:type="dxa"/>
            <w:vAlign w:val="top"/>
          </w:tcPr>
          <w:p>
            <w:pPr>
              <w:pStyle w:val="7"/>
              <w:spacing w:before="29" w:line="300" w:lineRule="exact"/>
              <w:ind w:left="108" w:right="-29"/>
              <w:rPr>
                <w:sz w:val="24"/>
              </w:rPr>
            </w:pPr>
            <w:r>
              <w:rPr>
                <w:spacing w:val="3"/>
                <w:sz w:val="24"/>
              </w:rPr>
              <w:t>督促指导企业强化落实法定代表人、实际</w:t>
            </w:r>
            <w:r>
              <w:rPr>
                <w:spacing w:val="18"/>
                <w:sz w:val="24"/>
              </w:rPr>
              <w:t>控制人等主要负责人第一责任人法定责</w:t>
            </w:r>
            <w:r>
              <w:rPr>
                <w:spacing w:val="-3"/>
                <w:sz w:val="24"/>
              </w:rPr>
              <w:t>任，做到安全责任、安全管理、安全投入、</w:t>
            </w:r>
            <w:r>
              <w:rPr>
                <w:sz w:val="24"/>
              </w:rPr>
              <w:t>安全培训、应急救援“五到位”。</w:t>
            </w:r>
          </w:p>
        </w:tc>
        <w:tc>
          <w:tcPr>
            <w:tcW w:w="4281" w:type="dxa"/>
            <w:vAlign w:val="top"/>
          </w:tcPr>
          <w:p>
            <w:pPr>
              <w:pStyle w:val="7"/>
              <w:spacing w:before="185" w:line="235" w:lineRule="auto"/>
              <w:ind w:left="107" w:right="95"/>
              <w:jc w:val="both"/>
              <w:rPr>
                <w:sz w:val="24"/>
              </w:rPr>
            </w:pPr>
            <w:r>
              <w:rPr>
                <w:spacing w:val="-3"/>
                <w:sz w:val="24"/>
              </w:rPr>
              <w:t>企业主要负责人法定责任落实，做到安</w:t>
            </w:r>
            <w:r>
              <w:rPr>
                <w:spacing w:val="-5"/>
                <w:sz w:val="24"/>
              </w:rPr>
              <w:t>全责任、安全管理、安全投入、安全培</w:t>
            </w:r>
            <w:r>
              <w:rPr>
                <w:sz w:val="24"/>
              </w:rPr>
              <w:t>训、应急救援“五到位”。</w:t>
            </w:r>
          </w:p>
        </w:tc>
        <w:tc>
          <w:tcPr>
            <w:tcW w:w="4599" w:type="dxa"/>
            <w:vAlign w:val="top"/>
          </w:tcPr>
          <w:p>
            <w:pPr>
              <w:pStyle w:val="7"/>
              <w:numPr>
                <w:ilvl w:val="0"/>
                <w:numId w:val="3"/>
              </w:numPr>
              <w:tabs>
                <w:tab w:val="left" w:pos="351"/>
              </w:tabs>
              <w:spacing w:before="185" w:after="0" w:line="235" w:lineRule="auto"/>
              <w:ind w:left="108" w:right="96" w:firstLine="0"/>
              <w:jc w:val="left"/>
              <w:rPr>
                <w:sz w:val="24"/>
              </w:rPr>
            </w:pPr>
            <w:r>
              <w:rPr>
                <w:sz w:val="24"/>
              </w:rPr>
              <w:t>与企业主要负责人座谈交流其法定责任掌握和落实情况。</w:t>
            </w:r>
          </w:p>
          <w:p>
            <w:pPr>
              <w:pStyle w:val="7"/>
              <w:numPr>
                <w:ilvl w:val="0"/>
                <w:numId w:val="3"/>
              </w:numPr>
              <w:tabs>
                <w:tab w:val="left" w:pos="350"/>
              </w:tabs>
              <w:spacing w:before="0" w:after="0" w:line="300" w:lineRule="exact"/>
              <w:ind w:left="349" w:right="0" w:hanging="242"/>
              <w:jc w:val="left"/>
              <w:rPr>
                <w:sz w:val="24"/>
              </w:rPr>
            </w:pPr>
            <w:r>
              <w:rPr>
                <w:sz w:val="24"/>
              </w:rPr>
              <w:t>查阅履职佐证资料。</w:t>
            </w:r>
          </w:p>
        </w:tc>
      </w:tr>
      <w:tr>
        <w:trPr>
          <w:trHeight w:val="2997" w:hRule="atLeast"/>
        </w:trPr>
        <w:tc>
          <w:tcPr>
            <w:tcW w:w="939" w:type="dxa"/>
            <w:vAlign w:val="top"/>
          </w:tcPr>
          <w:p>
            <w:pPr>
              <w:pStyle w:val="7"/>
              <w:rPr>
                <w:rFonts w:ascii="PMingLiU"/>
                <w:sz w:val="24"/>
              </w:rPr>
            </w:pPr>
          </w:p>
          <w:p>
            <w:pPr>
              <w:pStyle w:val="7"/>
              <w:rPr>
                <w:rFonts w:ascii="PMingLiU"/>
                <w:sz w:val="24"/>
              </w:rPr>
            </w:pPr>
          </w:p>
          <w:p>
            <w:pPr>
              <w:pStyle w:val="7"/>
              <w:rPr>
                <w:rFonts w:ascii="PMingLiU"/>
                <w:sz w:val="24"/>
              </w:rPr>
            </w:pPr>
          </w:p>
          <w:p>
            <w:pPr>
              <w:pStyle w:val="7"/>
              <w:spacing w:before="9"/>
              <w:rPr>
                <w:rFonts w:ascii="PMingLiU"/>
                <w:sz w:val="24"/>
              </w:rPr>
            </w:pPr>
          </w:p>
          <w:p>
            <w:pPr>
              <w:pStyle w:val="7"/>
              <w:ind w:left="9"/>
              <w:jc w:val="center"/>
              <w:rPr>
                <w:sz w:val="24"/>
              </w:rPr>
            </w:pPr>
            <w:r>
              <w:rPr>
                <w:sz w:val="24"/>
              </w:rPr>
              <w:t>3</w:t>
            </w:r>
          </w:p>
        </w:tc>
        <w:tc>
          <w:tcPr>
            <w:tcW w:w="4640" w:type="dxa"/>
            <w:vAlign w:val="top"/>
          </w:tcPr>
          <w:p>
            <w:pPr>
              <w:pStyle w:val="7"/>
              <w:spacing w:before="11"/>
              <w:rPr>
                <w:rFonts w:ascii="PMingLiU"/>
                <w:sz w:val="21"/>
              </w:rPr>
            </w:pPr>
          </w:p>
          <w:p>
            <w:pPr>
              <w:pStyle w:val="7"/>
              <w:spacing w:before="1" w:line="235" w:lineRule="auto"/>
              <w:ind w:left="108" w:right="96"/>
              <w:jc w:val="both"/>
              <w:rPr>
                <w:sz w:val="24"/>
              </w:rPr>
            </w:pPr>
            <w:r>
              <w:rPr>
                <w:sz w:val="24"/>
              </w:rPr>
              <w:t>督促指导企业落实全员安全生产责任，强化内部各部门安全生产职责，落实一岗双责制度；督促指导企业安全管理人员、重点岗位、班组和一线从业人员严格履行自身安全生产职责，严格遵守岗位安全操作规程，确保安全生产；督促指导重点行业领域企业严格落实以师带徒制度，确保新招员工安全作业。</w:t>
            </w:r>
          </w:p>
        </w:tc>
        <w:tc>
          <w:tcPr>
            <w:tcW w:w="4281" w:type="dxa"/>
            <w:vAlign w:val="top"/>
          </w:tcPr>
          <w:p>
            <w:pPr>
              <w:pStyle w:val="7"/>
              <w:spacing w:before="11"/>
              <w:rPr>
                <w:rFonts w:ascii="PMingLiU"/>
                <w:sz w:val="21"/>
              </w:rPr>
            </w:pPr>
          </w:p>
          <w:p>
            <w:pPr>
              <w:pStyle w:val="7"/>
              <w:spacing w:before="1" w:line="235" w:lineRule="auto"/>
              <w:ind w:left="107" w:right="95"/>
              <w:jc w:val="both"/>
              <w:rPr>
                <w:sz w:val="24"/>
              </w:rPr>
            </w:pPr>
            <w:r>
              <w:rPr>
                <w:spacing w:val="-3"/>
                <w:sz w:val="24"/>
              </w:rPr>
              <w:t>各部门安全生产职责明确。从业人员熟知岗位安全生产职责，严格遵守岗位安</w:t>
            </w:r>
            <w:r>
              <w:rPr>
                <w:sz w:val="24"/>
              </w:rPr>
              <w:t>全操作规程。</w:t>
            </w:r>
          </w:p>
          <w:p>
            <w:pPr>
              <w:pStyle w:val="7"/>
              <w:spacing w:line="235" w:lineRule="auto"/>
              <w:ind w:left="107" w:right="95"/>
              <w:jc w:val="both"/>
              <w:rPr>
                <w:sz w:val="24"/>
              </w:rPr>
            </w:pPr>
            <w:r>
              <w:rPr>
                <w:spacing w:val="-3"/>
                <w:sz w:val="24"/>
              </w:rPr>
              <w:t>检维修作业制定并安全方案，外委承包项目签订安全协议，对承包单位统一管</w:t>
            </w:r>
            <w:r>
              <w:rPr>
                <w:sz w:val="24"/>
              </w:rPr>
              <w:t>理、定期检查。</w:t>
            </w:r>
          </w:p>
          <w:p>
            <w:pPr>
              <w:pStyle w:val="7"/>
              <w:spacing w:line="235" w:lineRule="auto"/>
              <w:ind w:left="107" w:right="95"/>
              <w:rPr>
                <w:sz w:val="24"/>
              </w:rPr>
            </w:pPr>
            <w:r>
              <w:rPr>
                <w:sz w:val="24"/>
              </w:rPr>
              <w:t>重点行业领域企业建立并落实以师带徒制度。</w:t>
            </w:r>
          </w:p>
        </w:tc>
        <w:tc>
          <w:tcPr>
            <w:tcW w:w="4599" w:type="dxa"/>
            <w:vAlign w:val="top"/>
          </w:tcPr>
          <w:p>
            <w:pPr>
              <w:pStyle w:val="7"/>
              <w:numPr>
                <w:ilvl w:val="0"/>
                <w:numId w:val="4"/>
              </w:numPr>
              <w:tabs>
                <w:tab w:val="left" w:pos="351"/>
              </w:tabs>
              <w:spacing w:before="5" w:after="0" w:line="235" w:lineRule="auto"/>
              <w:ind w:left="108" w:right="96" w:firstLine="0"/>
              <w:jc w:val="both"/>
              <w:rPr>
                <w:sz w:val="24"/>
              </w:rPr>
            </w:pPr>
            <w:r>
              <w:rPr>
                <w:sz w:val="24"/>
              </w:rPr>
              <w:t>重点抽查企业负责人、生产、技术、设备、安全、财务、人事等部门负责人及关键岗位人员责任制是否结合企业实际，是否符合岗位特点、具体明确。</w:t>
            </w:r>
          </w:p>
          <w:p>
            <w:pPr>
              <w:pStyle w:val="7"/>
              <w:numPr>
                <w:ilvl w:val="0"/>
                <w:numId w:val="4"/>
              </w:numPr>
              <w:tabs>
                <w:tab w:val="left" w:pos="351"/>
              </w:tabs>
              <w:spacing w:before="0" w:after="0" w:line="235" w:lineRule="auto"/>
              <w:ind w:left="108" w:right="96" w:firstLine="0"/>
              <w:jc w:val="left"/>
              <w:rPr>
                <w:sz w:val="24"/>
              </w:rPr>
            </w:pPr>
            <w:r>
              <w:rPr>
                <w:sz w:val="24"/>
              </w:rPr>
              <w:t>询问有关负责人、一线员工掌握岗位职责、安全操作规程等情况。</w:t>
            </w:r>
          </w:p>
          <w:p>
            <w:pPr>
              <w:pStyle w:val="7"/>
              <w:numPr>
                <w:ilvl w:val="0"/>
                <w:numId w:val="4"/>
              </w:numPr>
              <w:tabs>
                <w:tab w:val="left" w:pos="351"/>
              </w:tabs>
              <w:spacing w:before="0" w:after="0" w:line="235" w:lineRule="auto"/>
              <w:ind w:left="108" w:right="96" w:firstLine="0"/>
              <w:jc w:val="left"/>
              <w:rPr>
                <w:sz w:val="24"/>
              </w:rPr>
            </w:pPr>
            <w:r>
              <w:rPr>
                <w:sz w:val="24"/>
              </w:rPr>
              <w:t>查阅检维修作业安全方案、外委承包项目管理、检查等资料。</w:t>
            </w:r>
          </w:p>
          <w:p>
            <w:pPr>
              <w:pStyle w:val="7"/>
              <w:numPr>
                <w:ilvl w:val="0"/>
                <w:numId w:val="4"/>
              </w:numPr>
              <w:tabs>
                <w:tab w:val="left" w:pos="343"/>
              </w:tabs>
              <w:spacing w:before="0" w:after="0" w:line="296" w:lineRule="exact"/>
              <w:ind w:left="342" w:right="0" w:hanging="235"/>
              <w:jc w:val="left"/>
              <w:rPr>
                <w:sz w:val="24"/>
              </w:rPr>
            </w:pPr>
            <w:r>
              <w:rPr>
                <w:spacing w:val="-10"/>
                <w:sz w:val="24"/>
              </w:rPr>
              <w:t>抽查重点行业领域企业以师带徒制度落实</w:t>
            </w:r>
          </w:p>
          <w:p>
            <w:pPr>
              <w:pStyle w:val="7"/>
              <w:spacing w:line="273" w:lineRule="exact"/>
              <w:ind w:left="108"/>
              <w:rPr>
                <w:sz w:val="24"/>
              </w:rPr>
            </w:pPr>
            <w:r>
              <w:rPr>
                <w:sz w:val="24"/>
              </w:rPr>
              <w:t>情况。</w:t>
            </w:r>
          </w:p>
        </w:tc>
      </w:tr>
    </w:tbl>
    <w:p>
      <w:pPr>
        <w:spacing w:after="0" w:line="273" w:lineRule="exact"/>
        <w:rPr>
          <w:sz w:val="24"/>
        </w:rPr>
        <w:sectPr>
          <w:footerReference r:id="rId4" w:type="default"/>
          <w:pgSz w:w="16840" w:h="11910" w:orient="landscape"/>
          <w:pgMar w:top="1100" w:right="700" w:bottom="1100" w:left="700" w:header="0" w:footer="907" w:gutter="0"/>
          <w:pgNumType w:start="1"/>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W w:w="14459" w:type="dxa"/>
        <w:tblInd w:w="4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9"/>
        <w:gridCol w:w="4640"/>
        <w:gridCol w:w="4281"/>
        <w:gridCol w:w="4599"/>
      </w:tblGrid>
      <w:tr>
        <w:trPr>
          <w:trHeight w:val="550" w:hRule="atLeast"/>
        </w:trPr>
        <w:tc>
          <w:tcPr>
            <w:tcW w:w="939" w:type="dxa"/>
            <w:vAlign w:val="top"/>
          </w:tcPr>
          <w:p>
            <w:pPr>
              <w:pStyle w:val="7"/>
              <w:spacing w:before="126"/>
              <w:ind w:left="209" w:right="200"/>
              <w:jc w:val="center"/>
              <w:rPr>
                <w:rFonts w:hint="eastAsia" w:ascii="黑体" w:eastAsia="黑体"/>
                <w:sz w:val="24"/>
              </w:rPr>
            </w:pPr>
            <w:r>
              <w:rPr>
                <w:rFonts w:hint="eastAsia" w:ascii="黑体" w:eastAsia="黑体"/>
                <w:sz w:val="24"/>
              </w:rPr>
              <w:t>序号</w:t>
            </w:r>
          </w:p>
        </w:tc>
        <w:tc>
          <w:tcPr>
            <w:tcW w:w="4640" w:type="dxa"/>
            <w:vAlign w:val="top"/>
          </w:tcPr>
          <w:p>
            <w:pPr>
              <w:pStyle w:val="7"/>
              <w:spacing w:before="126"/>
              <w:ind w:left="1818" w:right="1811"/>
              <w:jc w:val="center"/>
              <w:rPr>
                <w:rFonts w:hint="eastAsia" w:ascii="黑体" w:eastAsia="黑体"/>
                <w:sz w:val="24"/>
              </w:rPr>
            </w:pPr>
            <w:r>
              <w:rPr>
                <w:rFonts w:hint="eastAsia" w:ascii="黑体" w:eastAsia="黑体"/>
                <w:sz w:val="24"/>
              </w:rPr>
              <w:t>主要任务</w:t>
            </w:r>
          </w:p>
        </w:tc>
        <w:tc>
          <w:tcPr>
            <w:tcW w:w="4281" w:type="dxa"/>
            <w:vAlign w:val="top"/>
          </w:tcPr>
          <w:p>
            <w:pPr>
              <w:pStyle w:val="7"/>
              <w:spacing w:before="126"/>
              <w:ind w:left="73" w:right="63"/>
              <w:jc w:val="center"/>
              <w:rPr>
                <w:rFonts w:hint="eastAsia" w:ascii="黑体" w:eastAsia="黑体"/>
                <w:sz w:val="24"/>
              </w:rPr>
            </w:pPr>
            <w:r>
              <w:rPr>
                <w:rFonts w:hint="eastAsia" w:ascii="黑体" w:eastAsia="黑体"/>
                <w:sz w:val="24"/>
              </w:rPr>
              <w:t>检查要点</w:t>
            </w:r>
          </w:p>
        </w:tc>
        <w:tc>
          <w:tcPr>
            <w:tcW w:w="4599" w:type="dxa"/>
            <w:vAlign w:val="top"/>
          </w:tcPr>
          <w:p>
            <w:pPr>
              <w:pStyle w:val="7"/>
              <w:spacing w:before="126"/>
              <w:ind w:left="1799" w:right="1789"/>
              <w:jc w:val="center"/>
              <w:rPr>
                <w:rFonts w:hint="eastAsia" w:ascii="黑体" w:eastAsia="黑体"/>
                <w:sz w:val="24"/>
              </w:rPr>
            </w:pPr>
            <w:r>
              <w:rPr>
                <w:rFonts w:hint="eastAsia" w:ascii="黑体" w:eastAsia="黑体"/>
                <w:sz w:val="24"/>
              </w:rPr>
              <w:t>检查方式</w:t>
            </w:r>
          </w:p>
        </w:tc>
      </w:tr>
      <w:tr>
        <w:trPr>
          <w:trHeight w:val="1800" w:hRule="atLeast"/>
        </w:trPr>
        <w:tc>
          <w:tcPr>
            <w:tcW w:w="939" w:type="dxa"/>
            <w:vAlign w:val="top"/>
          </w:tcPr>
          <w:p>
            <w:pPr>
              <w:pStyle w:val="7"/>
              <w:rPr>
                <w:rFonts w:ascii="Times New Roman"/>
                <w:sz w:val="24"/>
              </w:rPr>
            </w:pPr>
          </w:p>
          <w:p>
            <w:pPr>
              <w:pStyle w:val="7"/>
              <w:rPr>
                <w:rFonts w:ascii="Times New Roman"/>
                <w:sz w:val="24"/>
              </w:rPr>
            </w:pPr>
          </w:p>
          <w:p>
            <w:pPr>
              <w:pStyle w:val="7"/>
              <w:spacing w:before="200"/>
              <w:ind w:left="9"/>
              <w:jc w:val="center"/>
              <w:rPr>
                <w:sz w:val="24"/>
              </w:rPr>
            </w:pPr>
            <w:r>
              <w:rPr>
                <w:sz w:val="24"/>
              </w:rPr>
              <w:t>4</w:t>
            </w:r>
          </w:p>
        </w:tc>
        <w:tc>
          <w:tcPr>
            <w:tcW w:w="4640" w:type="dxa"/>
            <w:vAlign w:val="top"/>
          </w:tcPr>
          <w:p>
            <w:pPr>
              <w:pStyle w:val="7"/>
              <w:spacing w:before="6"/>
              <w:rPr>
                <w:rFonts w:ascii="Times New Roman"/>
                <w:sz w:val="26"/>
              </w:rPr>
            </w:pPr>
          </w:p>
          <w:p>
            <w:pPr>
              <w:pStyle w:val="7"/>
              <w:spacing w:line="235" w:lineRule="auto"/>
              <w:ind w:left="108" w:right="96"/>
              <w:jc w:val="both"/>
              <w:rPr>
                <w:sz w:val="24"/>
              </w:rPr>
            </w:pPr>
            <w:r>
              <w:rPr>
                <w:sz w:val="24"/>
              </w:rPr>
              <w:t>督促指导企业依法建立健全安全生产管理机构，配齐安全生产管理人员，全力支持安全管理机构工作，并建立相应的奖惩制度。</w:t>
            </w:r>
          </w:p>
        </w:tc>
        <w:tc>
          <w:tcPr>
            <w:tcW w:w="4281" w:type="dxa"/>
            <w:vAlign w:val="top"/>
          </w:tcPr>
          <w:p>
            <w:pPr>
              <w:pStyle w:val="7"/>
              <w:rPr>
                <w:rFonts w:ascii="Times New Roman"/>
                <w:sz w:val="24"/>
              </w:rPr>
            </w:pPr>
          </w:p>
          <w:p>
            <w:pPr>
              <w:pStyle w:val="7"/>
              <w:spacing w:before="7"/>
              <w:rPr>
                <w:rFonts w:ascii="Times New Roman"/>
                <w:sz w:val="28"/>
              </w:rPr>
            </w:pPr>
          </w:p>
          <w:p>
            <w:pPr>
              <w:pStyle w:val="7"/>
              <w:spacing w:line="235" w:lineRule="auto"/>
              <w:ind w:left="107" w:right="49"/>
              <w:rPr>
                <w:sz w:val="24"/>
              </w:rPr>
            </w:pPr>
            <w:r>
              <w:rPr>
                <w:sz w:val="24"/>
              </w:rPr>
              <w:t>安全生产管理机构健全，安全生产管理人员配备齐全。</w:t>
            </w:r>
          </w:p>
        </w:tc>
        <w:tc>
          <w:tcPr>
            <w:tcW w:w="4599" w:type="dxa"/>
            <w:vAlign w:val="top"/>
          </w:tcPr>
          <w:p>
            <w:pPr>
              <w:pStyle w:val="7"/>
              <w:numPr>
                <w:ilvl w:val="0"/>
                <w:numId w:val="5"/>
              </w:numPr>
              <w:tabs>
                <w:tab w:val="left" w:pos="351"/>
              </w:tabs>
              <w:spacing w:before="5" w:after="0" w:line="235" w:lineRule="auto"/>
              <w:ind w:left="108" w:right="96" w:firstLine="0"/>
              <w:jc w:val="left"/>
              <w:rPr>
                <w:sz w:val="24"/>
              </w:rPr>
            </w:pPr>
            <w:r>
              <w:rPr>
                <w:sz w:val="24"/>
              </w:rPr>
              <w:t>查阅企业人员情况登记表，了解掌握企业从业人员数量。</w:t>
            </w:r>
          </w:p>
          <w:p>
            <w:pPr>
              <w:pStyle w:val="7"/>
              <w:numPr>
                <w:ilvl w:val="0"/>
                <w:numId w:val="5"/>
              </w:numPr>
              <w:tabs>
                <w:tab w:val="left" w:pos="343"/>
              </w:tabs>
              <w:spacing w:before="0" w:after="0" w:line="235" w:lineRule="auto"/>
              <w:ind w:left="108" w:right="77" w:firstLine="0"/>
              <w:jc w:val="left"/>
              <w:rPr>
                <w:sz w:val="24"/>
              </w:rPr>
            </w:pPr>
            <w:r>
              <w:rPr>
                <w:spacing w:val="-10"/>
                <w:sz w:val="24"/>
              </w:rPr>
              <w:t>查阅企业设置安全管理机构和配备安全生</w:t>
            </w:r>
            <w:r>
              <w:rPr>
                <w:spacing w:val="-21"/>
                <w:sz w:val="24"/>
              </w:rPr>
              <w:t>产管理人员相关佐证文件资料。</w:t>
            </w:r>
          </w:p>
          <w:p>
            <w:pPr>
              <w:pStyle w:val="7"/>
              <w:numPr>
                <w:ilvl w:val="0"/>
                <w:numId w:val="5"/>
              </w:numPr>
              <w:tabs>
                <w:tab w:val="left" w:pos="366"/>
              </w:tabs>
              <w:spacing w:before="0" w:after="0" w:line="296" w:lineRule="exact"/>
              <w:ind w:left="365" w:right="0" w:hanging="258"/>
              <w:jc w:val="left"/>
              <w:rPr>
                <w:sz w:val="24"/>
              </w:rPr>
            </w:pPr>
            <w:r>
              <w:rPr>
                <w:spacing w:val="15"/>
                <w:sz w:val="24"/>
              </w:rPr>
              <w:t>查阅安全管理人员专业背景和从业经</w:t>
            </w:r>
          </w:p>
          <w:p>
            <w:pPr>
              <w:pStyle w:val="7"/>
              <w:spacing w:line="275" w:lineRule="exact"/>
              <w:ind w:left="108"/>
              <w:rPr>
                <w:sz w:val="24"/>
              </w:rPr>
            </w:pPr>
            <w:r>
              <w:rPr>
                <w:sz w:val="24"/>
              </w:rPr>
              <w:t>历。</w:t>
            </w:r>
          </w:p>
        </w:tc>
      </w:tr>
      <w:tr>
        <w:trPr>
          <w:trHeight w:val="1047" w:hRule="atLeast"/>
        </w:trPr>
        <w:tc>
          <w:tcPr>
            <w:tcW w:w="939" w:type="dxa"/>
            <w:vAlign w:val="top"/>
          </w:tcPr>
          <w:p>
            <w:pPr>
              <w:pStyle w:val="7"/>
              <w:spacing w:before="6"/>
              <w:rPr>
                <w:rFonts w:ascii="Times New Roman"/>
                <w:sz w:val="32"/>
              </w:rPr>
            </w:pPr>
          </w:p>
          <w:p>
            <w:pPr>
              <w:pStyle w:val="7"/>
              <w:spacing w:before="1"/>
              <w:ind w:left="9"/>
              <w:jc w:val="center"/>
              <w:rPr>
                <w:sz w:val="24"/>
              </w:rPr>
            </w:pPr>
            <w:r>
              <w:rPr>
                <w:sz w:val="24"/>
              </w:rPr>
              <w:t>5</w:t>
            </w:r>
          </w:p>
        </w:tc>
        <w:tc>
          <w:tcPr>
            <w:tcW w:w="4640" w:type="dxa"/>
            <w:vAlign w:val="top"/>
          </w:tcPr>
          <w:p>
            <w:pPr>
              <w:pStyle w:val="7"/>
              <w:spacing w:before="79" w:line="235" w:lineRule="auto"/>
              <w:ind w:left="108" w:right="96"/>
              <w:jc w:val="both"/>
              <w:rPr>
                <w:sz w:val="24"/>
              </w:rPr>
            </w:pPr>
            <w:r>
              <w:rPr>
                <w:sz w:val="24"/>
              </w:rPr>
              <w:t>督促指导各重点行业领域企业通过自身培养和市场化机制全部建立安全生产技术和管理团队。</w:t>
            </w:r>
          </w:p>
        </w:tc>
        <w:tc>
          <w:tcPr>
            <w:tcW w:w="4281" w:type="dxa"/>
            <w:vAlign w:val="top"/>
          </w:tcPr>
          <w:p>
            <w:pPr>
              <w:pStyle w:val="7"/>
              <w:rPr>
                <w:rFonts w:ascii="Times New Roman"/>
                <w:sz w:val="20"/>
              </w:rPr>
            </w:pPr>
          </w:p>
          <w:p>
            <w:pPr>
              <w:pStyle w:val="7"/>
              <w:spacing w:before="1" w:line="235" w:lineRule="auto"/>
              <w:ind w:left="107" w:right="95"/>
              <w:rPr>
                <w:sz w:val="24"/>
              </w:rPr>
            </w:pPr>
            <w:r>
              <w:rPr>
                <w:sz w:val="24"/>
              </w:rPr>
              <w:t>重点行业领域企业建立安全生产技术和管理团队。</w:t>
            </w:r>
          </w:p>
        </w:tc>
        <w:tc>
          <w:tcPr>
            <w:tcW w:w="4599" w:type="dxa"/>
            <w:vAlign w:val="top"/>
          </w:tcPr>
          <w:p>
            <w:pPr>
              <w:pStyle w:val="7"/>
              <w:rPr>
                <w:rFonts w:ascii="Times New Roman"/>
                <w:sz w:val="20"/>
              </w:rPr>
            </w:pPr>
          </w:p>
          <w:p>
            <w:pPr>
              <w:pStyle w:val="7"/>
              <w:spacing w:before="1" w:line="235" w:lineRule="auto"/>
              <w:ind w:left="108" w:right="96"/>
              <w:rPr>
                <w:sz w:val="24"/>
              </w:rPr>
            </w:pPr>
            <w:r>
              <w:rPr>
                <w:sz w:val="24"/>
              </w:rPr>
              <w:t>核查重点行业领域企业安全生产技术和管理团队建设情况。</w:t>
            </w:r>
          </w:p>
        </w:tc>
      </w:tr>
      <w:tr>
        <w:trPr>
          <w:trHeight w:val="1800" w:hRule="atLeast"/>
        </w:trPr>
        <w:tc>
          <w:tcPr>
            <w:tcW w:w="939" w:type="dxa"/>
            <w:vAlign w:val="top"/>
          </w:tcPr>
          <w:p>
            <w:pPr>
              <w:pStyle w:val="7"/>
              <w:rPr>
                <w:rFonts w:ascii="Times New Roman"/>
                <w:sz w:val="24"/>
              </w:rPr>
            </w:pPr>
          </w:p>
          <w:p>
            <w:pPr>
              <w:pStyle w:val="7"/>
              <w:rPr>
                <w:rFonts w:ascii="Times New Roman"/>
                <w:sz w:val="24"/>
              </w:rPr>
            </w:pPr>
          </w:p>
          <w:p>
            <w:pPr>
              <w:pStyle w:val="7"/>
              <w:spacing w:before="200"/>
              <w:ind w:left="9"/>
              <w:jc w:val="center"/>
              <w:rPr>
                <w:sz w:val="24"/>
              </w:rPr>
            </w:pPr>
            <w:r>
              <w:rPr>
                <w:sz w:val="24"/>
              </w:rPr>
              <w:t>6</w:t>
            </w:r>
          </w:p>
        </w:tc>
        <w:tc>
          <w:tcPr>
            <w:tcW w:w="4640" w:type="dxa"/>
            <w:vAlign w:val="top"/>
          </w:tcPr>
          <w:p>
            <w:pPr>
              <w:pStyle w:val="7"/>
              <w:spacing w:line="300" w:lineRule="exact"/>
              <w:ind w:left="108" w:right="96"/>
              <w:jc w:val="both"/>
              <w:rPr>
                <w:sz w:val="24"/>
              </w:rPr>
            </w:pPr>
            <w:r>
              <w:rPr>
                <w:sz w:val="24"/>
              </w:rPr>
              <w:t>督促企业强化安全投入，保证安全生产条件所必需的资金投入，严格安全生产费用提取管理使用制度，坚持内部审计与外部审计相结合，确保足额提取、使用到位， 对违规挪作他用，以及由于资金投入不足导致的发生事故等后果依法依规惩处。</w:t>
            </w:r>
          </w:p>
        </w:tc>
        <w:tc>
          <w:tcPr>
            <w:tcW w:w="4281" w:type="dxa"/>
            <w:vAlign w:val="top"/>
          </w:tcPr>
          <w:p>
            <w:pPr>
              <w:pStyle w:val="7"/>
              <w:rPr>
                <w:rFonts w:ascii="Times New Roman"/>
                <w:sz w:val="24"/>
              </w:rPr>
            </w:pPr>
          </w:p>
          <w:p>
            <w:pPr>
              <w:pStyle w:val="7"/>
              <w:spacing w:before="181" w:line="235" w:lineRule="auto"/>
              <w:ind w:left="107" w:right="-29"/>
              <w:rPr>
                <w:sz w:val="24"/>
              </w:rPr>
            </w:pPr>
            <w:r>
              <w:rPr>
                <w:spacing w:val="-4"/>
                <w:sz w:val="24"/>
              </w:rPr>
              <w:t>按照《企业安全生产费用提取和使用管</w:t>
            </w:r>
            <w:r>
              <w:rPr>
                <w:spacing w:val="-27"/>
                <w:sz w:val="24"/>
              </w:rPr>
              <w:t>理办法》</w:t>
            </w:r>
            <w:r>
              <w:rPr>
                <w:sz w:val="24"/>
              </w:rPr>
              <w:t>（</w:t>
            </w:r>
            <w:r>
              <w:rPr>
                <w:spacing w:val="-14"/>
                <w:sz w:val="24"/>
              </w:rPr>
              <w:t xml:space="preserve"> 财企〔</w:t>
            </w:r>
            <w:r>
              <w:rPr>
                <w:sz w:val="24"/>
              </w:rPr>
              <w:t>2012</w:t>
            </w:r>
            <w:r>
              <w:rPr>
                <w:spacing w:val="-48"/>
                <w:sz w:val="24"/>
              </w:rPr>
              <w:t>〕</w:t>
            </w:r>
            <w:r>
              <w:rPr>
                <w:sz w:val="24"/>
              </w:rPr>
              <w:t>16</w:t>
            </w:r>
            <w:r>
              <w:rPr>
                <w:spacing w:val="-11"/>
                <w:sz w:val="24"/>
              </w:rPr>
              <w:t xml:space="preserve"> 号)的要求， </w:t>
            </w:r>
            <w:r>
              <w:rPr>
                <w:sz w:val="24"/>
              </w:rPr>
              <w:t>规范提取和使用安全生产费用。</w:t>
            </w:r>
          </w:p>
        </w:tc>
        <w:tc>
          <w:tcPr>
            <w:tcW w:w="4599" w:type="dxa"/>
            <w:vAlign w:val="top"/>
          </w:tcPr>
          <w:p>
            <w:pPr>
              <w:pStyle w:val="7"/>
              <w:rPr>
                <w:rFonts w:ascii="Times New Roman"/>
                <w:sz w:val="24"/>
              </w:rPr>
            </w:pPr>
          </w:p>
          <w:p>
            <w:pPr>
              <w:pStyle w:val="7"/>
              <w:spacing w:before="7"/>
              <w:rPr>
                <w:rFonts w:ascii="Times New Roman"/>
                <w:sz w:val="28"/>
              </w:rPr>
            </w:pPr>
          </w:p>
          <w:p>
            <w:pPr>
              <w:pStyle w:val="7"/>
              <w:spacing w:line="235" w:lineRule="auto"/>
              <w:ind w:left="108" w:right="96"/>
              <w:rPr>
                <w:sz w:val="24"/>
              </w:rPr>
            </w:pPr>
            <w:r>
              <w:rPr>
                <w:sz w:val="24"/>
              </w:rPr>
              <w:t>查阅企业安全生产费用提取和使用制度和安全生产费用使用台账。</w:t>
            </w:r>
          </w:p>
        </w:tc>
      </w:tr>
      <w:tr>
        <w:trPr>
          <w:trHeight w:val="1325" w:hRule="atLeast"/>
        </w:trPr>
        <w:tc>
          <w:tcPr>
            <w:tcW w:w="939" w:type="dxa"/>
            <w:vAlign w:val="top"/>
          </w:tcPr>
          <w:p>
            <w:pPr>
              <w:pStyle w:val="7"/>
              <w:rPr>
                <w:rFonts w:ascii="Times New Roman"/>
                <w:sz w:val="24"/>
              </w:rPr>
            </w:pPr>
          </w:p>
          <w:p>
            <w:pPr>
              <w:pStyle w:val="7"/>
              <w:spacing w:before="8"/>
              <w:rPr>
                <w:rFonts w:ascii="Times New Roman"/>
                <w:sz w:val="20"/>
              </w:rPr>
            </w:pPr>
          </w:p>
          <w:p>
            <w:pPr>
              <w:pStyle w:val="7"/>
              <w:ind w:left="9"/>
              <w:jc w:val="center"/>
              <w:rPr>
                <w:sz w:val="24"/>
              </w:rPr>
            </w:pPr>
            <w:r>
              <w:rPr>
                <w:sz w:val="24"/>
              </w:rPr>
              <w:t>7</w:t>
            </w:r>
          </w:p>
        </w:tc>
        <w:tc>
          <w:tcPr>
            <w:tcW w:w="4640" w:type="dxa"/>
            <w:vAlign w:val="top"/>
          </w:tcPr>
          <w:p>
            <w:pPr>
              <w:pStyle w:val="7"/>
              <w:spacing w:before="67" w:line="235" w:lineRule="auto"/>
              <w:ind w:left="108" w:right="96"/>
              <w:jc w:val="both"/>
              <w:rPr>
                <w:sz w:val="24"/>
              </w:rPr>
            </w:pPr>
            <w:r>
              <w:rPr>
                <w:sz w:val="24"/>
              </w:rPr>
              <w:t>督促企业严格落实安全技术设备设施改造等支持政策，加大淘汰落后力度，及时更新推广应用先进适用安全生产工艺和技术装备，提高安全生产保障能力。</w:t>
            </w:r>
          </w:p>
        </w:tc>
        <w:tc>
          <w:tcPr>
            <w:tcW w:w="4281" w:type="dxa"/>
            <w:vAlign w:val="top"/>
          </w:tcPr>
          <w:p>
            <w:pPr>
              <w:pStyle w:val="7"/>
              <w:spacing w:before="11"/>
              <w:rPr>
                <w:rFonts w:ascii="Times New Roman"/>
                <w:sz w:val="31"/>
              </w:rPr>
            </w:pPr>
          </w:p>
          <w:p>
            <w:pPr>
              <w:pStyle w:val="7"/>
              <w:spacing w:line="235" w:lineRule="auto"/>
              <w:ind w:left="107" w:right="95"/>
              <w:rPr>
                <w:sz w:val="24"/>
              </w:rPr>
            </w:pPr>
            <w:r>
              <w:rPr>
                <w:sz w:val="24"/>
              </w:rPr>
              <w:t>企业不使用国家明令禁止的淘汰工艺和设备。</w:t>
            </w:r>
          </w:p>
        </w:tc>
        <w:tc>
          <w:tcPr>
            <w:tcW w:w="4599" w:type="dxa"/>
            <w:vAlign w:val="top"/>
          </w:tcPr>
          <w:p>
            <w:pPr>
              <w:pStyle w:val="7"/>
              <w:spacing w:before="11"/>
              <w:rPr>
                <w:rFonts w:ascii="Times New Roman"/>
                <w:sz w:val="31"/>
              </w:rPr>
            </w:pPr>
          </w:p>
          <w:p>
            <w:pPr>
              <w:pStyle w:val="7"/>
              <w:spacing w:line="235" w:lineRule="auto"/>
              <w:ind w:left="108" w:right="96"/>
              <w:rPr>
                <w:sz w:val="24"/>
              </w:rPr>
            </w:pPr>
            <w:r>
              <w:rPr>
                <w:sz w:val="24"/>
              </w:rPr>
              <w:t>现场抽查工艺和设备符合国家或者行业标准情况。</w:t>
            </w:r>
          </w:p>
        </w:tc>
      </w:tr>
      <w:tr>
        <w:trPr>
          <w:trHeight w:val="1198" w:hRule="atLeast"/>
        </w:trPr>
        <w:tc>
          <w:tcPr>
            <w:tcW w:w="939" w:type="dxa"/>
            <w:vAlign w:val="top"/>
          </w:tcPr>
          <w:p>
            <w:pPr>
              <w:pStyle w:val="7"/>
              <w:rPr>
                <w:rFonts w:ascii="Times New Roman"/>
                <w:sz w:val="24"/>
              </w:rPr>
            </w:pPr>
          </w:p>
          <w:p>
            <w:pPr>
              <w:pStyle w:val="7"/>
              <w:spacing w:before="175"/>
              <w:ind w:left="9"/>
              <w:jc w:val="center"/>
              <w:rPr>
                <w:sz w:val="24"/>
              </w:rPr>
            </w:pPr>
            <w:r>
              <w:rPr>
                <w:sz w:val="24"/>
              </w:rPr>
              <w:t>8</w:t>
            </w:r>
          </w:p>
        </w:tc>
        <w:tc>
          <w:tcPr>
            <w:tcW w:w="4640" w:type="dxa"/>
            <w:vAlign w:val="top"/>
          </w:tcPr>
          <w:p>
            <w:pPr>
              <w:pStyle w:val="7"/>
              <w:spacing w:before="155" w:line="235" w:lineRule="auto"/>
              <w:ind w:left="108" w:right="96"/>
              <w:jc w:val="both"/>
              <w:rPr>
                <w:sz w:val="24"/>
              </w:rPr>
            </w:pPr>
            <w:r>
              <w:rPr>
                <w:sz w:val="24"/>
              </w:rPr>
              <w:t>督促企业加强从业人员劳动保护，配齐并督促从业人员正确佩戴和使用符合国家或行业标准的安全防护用品。</w:t>
            </w:r>
          </w:p>
        </w:tc>
        <w:tc>
          <w:tcPr>
            <w:tcW w:w="4281" w:type="dxa"/>
            <w:vAlign w:val="top"/>
          </w:tcPr>
          <w:p>
            <w:pPr>
              <w:pStyle w:val="7"/>
              <w:rPr>
                <w:rFonts w:ascii="Times New Roman"/>
                <w:sz w:val="24"/>
              </w:rPr>
            </w:pPr>
          </w:p>
          <w:p>
            <w:pPr>
              <w:pStyle w:val="7"/>
              <w:spacing w:before="175"/>
              <w:ind w:left="107"/>
              <w:rPr>
                <w:sz w:val="24"/>
              </w:rPr>
            </w:pPr>
            <w:r>
              <w:rPr>
                <w:sz w:val="24"/>
              </w:rPr>
              <w:t>从业人员安全防护用品齐全有效。</w:t>
            </w:r>
          </w:p>
        </w:tc>
        <w:tc>
          <w:tcPr>
            <w:tcW w:w="4599" w:type="dxa"/>
            <w:vAlign w:val="top"/>
          </w:tcPr>
          <w:p>
            <w:pPr>
              <w:pStyle w:val="7"/>
              <w:numPr>
                <w:ilvl w:val="0"/>
                <w:numId w:val="6"/>
              </w:numPr>
              <w:tabs>
                <w:tab w:val="left" w:pos="366"/>
              </w:tabs>
              <w:spacing w:before="7" w:after="0" w:line="235" w:lineRule="auto"/>
              <w:ind w:left="108" w:right="98" w:firstLine="0"/>
              <w:jc w:val="left"/>
              <w:rPr>
                <w:sz w:val="24"/>
              </w:rPr>
            </w:pPr>
            <w:r>
              <w:rPr>
                <w:spacing w:val="15"/>
                <w:sz w:val="24"/>
              </w:rPr>
              <w:t>查阅企业安全防护用品登记和发放记</w:t>
            </w:r>
            <w:r>
              <w:rPr>
                <w:sz w:val="24"/>
              </w:rPr>
              <w:t>录。</w:t>
            </w:r>
          </w:p>
          <w:p>
            <w:pPr>
              <w:pStyle w:val="7"/>
              <w:numPr>
                <w:ilvl w:val="0"/>
                <w:numId w:val="6"/>
              </w:numPr>
              <w:tabs>
                <w:tab w:val="left" w:pos="351"/>
              </w:tabs>
              <w:spacing w:before="0" w:after="0" w:line="296" w:lineRule="exact"/>
              <w:ind w:left="350" w:right="0" w:hanging="243"/>
              <w:jc w:val="left"/>
              <w:rPr>
                <w:sz w:val="24"/>
              </w:rPr>
            </w:pPr>
            <w:r>
              <w:rPr>
                <w:spacing w:val="-18"/>
                <w:sz w:val="24"/>
              </w:rPr>
              <w:t xml:space="preserve">询问 </w:t>
            </w:r>
            <w:r>
              <w:rPr>
                <w:sz w:val="24"/>
              </w:rPr>
              <w:t>1-2</w:t>
            </w:r>
            <w:r>
              <w:rPr>
                <w:spacing w:val="-5"/>
                <w:sz w:val="24"/>
              </w:rPr>
              <w:t xml:space="preserve"> 名从业人员掌握正确佩戴和使</w:t>
            </w:r>
          </w:p>
          <w:p>
            <w:pPr>
              <w:pStyle w:val="7"/>
              <w:spacing w:line="272" w:lineRule="exact"/>
              <w:ind w:left="108"/>
              <w:rPr>
                <w:sz w:val="24"/>
              </w:rPr>
            </w:pPr>
            <w:r>
              <w:rPr>
                <w:sz w:val="24"/>
              </w:rPr>
              <w:t>用安全防护用品情况。</w:t>
            </w:r>
          </w:p>
        </w:tc>
      </w:tr>
    </w:tbl>
    <w:p>
      <w:pPr>
        <w:spacing w:after="0" w:line="272" w:lineRule="exact"/>
        <w:rPr>
          <w:sz w:val="24"/>
        </w:rPr>
        <w:sectPr>
          <w:pgSz w:w="16840" w:h="11910" w:orient="landscape"/>
          <w:pgMar w:top="1100" w:right="700" w:bottom="1100" w:left="700" w:header="0" w:footer="907"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W w:w="14459" w:type="dxa"/>
        <w:tblInd w:w="4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9"/>
        <w:gridCol w:w="4640"/>
        <w:gridCol w:w="4281"/>
        <w:gridCol w:w="4599"/>
      </w:tblGrid>
      <w:tr>
        <w:trPr>
          <w:trHeight w:val="550" w:hRule="atLeast"/>
        </w:trPr>
        <w:tc>
          <w:tcPr>
            <w:tcW w:w="939" w:type="dxa"/>
            <w:vAlign w:val="top"/>
          </w:tcPr>
          <w:p>
            <w:pPr>
              <w:pStyle w:val="7"/>
              <w:spacing w:before="126"/>
              <w:ind w:left="209" w:right="200"/>
              <w:jc w:val="center"/>
              <w:rPr>
                <w:rFonts w:hint="eastAsia" w:ascii="黑体" w:eastAsia="黑体"/>
                <w:sz w:val="24"/>
              </w:rPr>
            </w:pPr>
            <w:r>
              <w:rPr>
                <w:rFonts w:hint="eastAsia" w:ascii="黑体" w:eastAsia="黑体"/>
                <w:sz w:val="24"/>
              </w:rPr>
              <w:t>序号</w:t>
            </w:r>
          </w:p>
        </w:tc>
        <w:tc>
          <w:tcPr>
            <w:tcW w:w="4640" w:type="dxa"/>
            <w:vAlign w:val="top"/>
          </w:tcPr>
          <w:p>
            <w:pPr>
              <w:pStyle w:val="7"/>
              <w:spacing w:before="126"/>
              <w:ind w:left="1818" w:right="1811"/>
              <w:jc w:val="center"/>
              <w:rPr>
                <w:rFonts w:hint="eastAsia" w:ascii="黑体" w:eastAsia="黑体"/>
                <w:sz w:val="24"/>
              </w:rPr>
            </w:pPr>
            <w:r>
              <w:rPr>
                <w:rFonts w:hint="eastAsia" w:ascii="黑体" w:eastAsia="黑体"/>
                <w:sz w:val="24"/>
              </w:rPr>
              <w:t>主要任务</w:t>
            </w:r>
          </w:p>
        </w:tc>
        <w:tc>
          <w:tcPr>
            <w:tcW w:w="4281" w:type="dxa"/>
            <w:vAlign w:val="top"/>
          </w:tcPr>
          <w:p>
            <w:pPr>
              <w:pStyle w:val="7"/>
              <w:spacing w:before="126"/>
              <w:ind w:left="73" w:right="63"/>
              <w:jc w:val="center"/>
              <w:rPr>
                <w:rFonts w:hint="eastAsia" w:ascii="黑体" w:eastAsia="黑体"/>
                <w:sz w:val="24"/>
              </w:rPr>
            </w:pPr>
            <w:r>
              <w:rPr>
                <w:rFonts w:hint="eastAsia" w:ascii="黑体" w:eastAsia="黑体"/>
                <w:sz w:val="24"/>
              </w:rPr>
              <w:t>检查要点</w:t>
            </w:r>
          </w:p>
        </w:tc>
        <w:tc>
          <w:tcPr>
            <w:tcW w:w="4599" w:type="dxa"/>
            <w:vAlign w:val="top"/>
          </w:tcPr>
          <w:p>
            <w:pPr>
              <w:pStyle w:val="7"/>
              <w:spacing w:before="126"/>
              <w:ind w:left="1799" w:right="1789"/>
              <w:jc w:val="center"/>
              <w:rPr>
                <w:rFonts w:hint="eastAsia" w:ascii="黑体" w:eastAsia="黑体"/>
                <w:sz w:val="24"/>
              </w:rPr>
            </w:pPr>
            <w:r>
              <w:rPr>
                <w:rFonts w:hint="eastAsia" w:ascii="黑体" w:eastAsia="黑体"/>
                <w:sz w:val="24"/>
              </w:rPr>
              <w:t>检查方式</w:t>
            </w:r>
          </w:p>
        </w:tc>
      </w:tr>
      <w:tr>
        <w:trPr>
          <w:trHeight w:val="1331" w:hRule="atLeast"/>
        </w:trPr>
        <w:tc>
          <w:tcPr>
            <w:tcW w:w="939" w:type="dxa"/>
            <w:vAlign w:val="top"/>
          </w:tcPr>
          <w:p>
            <w:pPr>
              <w:pStyle w:val="7"/>
              <w:rPr>
                <w:rFonts w:ascii="Times New Roman"/>
                <w:sz w:val="24"/>
              </w:rPr>
            </w:pPr>
          </w:p>
          <w:p>
            <w:pPr>
              <w:pStyle w:val="7"/>
              <w:spacing w:before="10"/>
              <w:rPr>
                <w:rFonts w:ascii="Times New Roman"/>
                <w:sz w:val="20"/>
              </w:rPr>
            </w:pPr>
          </w:p>
          <w:p>
            <w:pPr>
              <w:pStyle w:val="7"/>
              <w:spacing w:before="1"/>
              <w:ind w:left="9"/>
              <w:jc w:val="center"/>
              <w:rPr>
                <w:sz w:val="24"/>
              </w:rPr>
            </w:pPr>
            <w:r>
              <w:rPr>
                <w:sz w:val="24"/>
              </w:rPr>
              <w:t>9</w:t>
            </w:r>
          </w:p>
        </w:tc>
        <w:tc>
          <w:tcPr>
            <w:tcW w:w="4640" w:type="dxa"/>
            <w:vAlign w:val="top"/>
          </w:tcPr>
          <w:p>
            <w:pPr>
              <w:pStyle w:val="7"/>
              <w:spacing w:before="70" w:line="235" w:lineRule="auto"/>
              <w:ind w:left="108" w:right="86"/>
              <w:jc w:val="both"/>
              <w:rPr>
                <w:sz w:val="24"/>
              </w:rPr>
            </w:pPr>
            <w:r>
              <w:rPr>
                <w:spacing w:val="-8"/>
                <w:sz w:val="24"/>
              </w:rPr>
              <w:t>督促指导企业建立健全安全教育培训制度。依法查处未取得特种作业操作证和未经安全生产教育培训合格的从业人员上岗作业等违</w:t>
            </w:r>
            <w:r>
              <w:rPr>
                <w:spacing w:val="-7"/>
                <w:sz w:val="24"/>
              </w:rPr>
              <w:t>法行为。</w:t>
            </w:r>
          </w:p>
        </w:tc>
        <w:tc>
          <w:tcPr>
            <w:tcW w:w="4281" w:type="dxa"/>
            <w:vAlign w:val="top"/>
          </w:tcPr>
          <w:p>
            <w:pPr>
              <w:pStyle w:val="7"/>
              <w:spacing w:before="2"/>
              <w:rPr>
                <w:rFonts w:ascii="Times New Roman"/>
                <w:sz w:val="32"/>
              </w:rPr>
            </w:pPr>
          </w:p>
          <w:p>
            <w:pPr>
              <w:pStyle w:val="7"/>
              <w:spacing w:line="235" w:lineRule="auto"/>
              <w:ind w:left="107" w:right="49"/>
              <w:rPr>
                <w:sz w:val="24"/>
              </w:rPr>
            </w:pPr>
            <w:r>
              <w:rPr>
                <w:sz w:val="24"/>
              </w:rPr>
              <w:t>安全教育培训制度健全，从业人员教育培训合格和特种作业人员持证上岗。</w:t>
            </w:r>
          </w:p>
        </w:tc>
        <w:tc>
          <w:tcPr>
            <w:tcW w:w="4599" w:type="dxa"/>
            <w:vAlign w:val="top"/>
          </w:tcPr>
          <w:p>
            <w:pPr>
              <w:pStyle w:val="7"/>
              <w:numPr>
                <w:ilvl w:val="0"/>
                <w:numId w:val="7"/>
              </w:numPr>
              <w:tabs>
                <w:tab w:val="left" w:pos="340"/>
              </w:tabs>
              <w:spacing w:before="70" w:after="0" w:line="235" w:lineRule="auto"/>
              <w:ind w:left="108" w:right="72" w:firstLine="0"/>
              <w:jc w:val="left"/>
              <w:rPr>
                <w:sz w:val="24"/>
              </w:rPr>
            </w:pPr>
            <w:r>
              <w:rPr>
                <w:spacing w:val="-22"/>
                <w:sz w:val="24"/>
              </w:rPr>
              <w:t>查阅企业安全生产教育培训制度、计划和</w:t>
            </w:r>
            <w:r>
              <w:rPr>
                <w:spacing w:val="-18"/>
                <w:sz w:val="24"/>
              </w:rPr>
              <w:t>培训记录</w:t>
            </w:r>
            <w:r>
              <w:rPr>
                <w:spacing w:val="-24"/>
                <w:sz w:val="24"/>
              </w:rPr>
              <w:t>（试卷）</w:t>
            </w:r>
            <w:r>
              <w:rPr>
                <w:sz w:val="24"/>
              </w:rPr>
              <w:t>。</w:t>
            </w:r>
          </w:p>
          <w:p>
            <w:pPr>
              <w:pStyle w:val="7"/>
              <w:numPr>
                <w:ilvl w:val="0"/>
                <w:numId w:val="7"/>
              </w:numPr>
              <w:tabs>
                <w:tab w:val="left" w:pos="340"/>
              </w:tabs>
              <w:spacing w:before="0" w:after="0" w:line="235" w:lineRule="auto"/>
              <w:ind w:left="108" w:right="72" w:firstLine="0"/>
              <w:jc w:val="left"/>
              <w:rPr>
                <w:sz w:val="24"/>
              </w:rPr>
            </w:pPr>
            <w:r>
              <w:rPr>
                <w:spacing w:val="-22"/>
                <w:sz w:val="24"/>
              </w:rPr>
              <w:t>检查特种作业人员操作证有效性，现场核</w:t>
            </w:r>
            <w:r>
              <w:rPr>
                <w:spacing w:val="-23"/>
                <w:sz w:val="24"/>
              </w:rPr>
              <w:t>查特种作业岗位是否配备符合资质人员。</w:t>
            </w:r>
          </w:p>
        </w:tc>
      </w:tr>
      <w:tr>
        <w:trPr>
          <w:trHeight w:val="1500" w:hRule="atLeast"/>
        </w:trPr>
        <w:tc>
          <w:tcPr>
            <w:tcW w:w="939" w:type="dxa"/>
            <w:vAlign w:val="top"/>
          </w:tcPr>
          <w:p>
            <w:pPr>
              <w:pStyle w:val="7"/>
              <w:rPr>
                <w:rFonts w:ascii="Times New Roman"/>
                <w:sz w:val="24"/>
              </w:rPr>
            </w:pPr>
          </w:p>
          <w:p>
            <w:pPr>
              <w:pStyle w:val="7"/>
              <w:spacing w:before="3"/>
              <w:rPr>
                <w:rFonts w:ascii="Times New Roman"/>
                <w:sz w:val="28"/>
              </w:rPr>
            </w:pPr>
          </w:p>
          <w:p>
            <w:pPr>
              <w:pStyle w:val="7"/>
              <w:ind w:left="209" w:right="200"/>
              <w:jc w:val="center"/>
              <w:rPr>
                <w:sz w:val="24"/>
              </w:rPr>
            </w:pPr>
            <w:r>
              <w:rPr>
                <w:sz w:val="24"/>
              </w:rPr>
              <w:t>10</w:t>
            </w:r>
          </w:p>
        </w:tc>
        <w:tc>
          <w:tcPr>
            <w:tcW w:w="4640" w:type="dxa"/>
            <w:vAlign w:val="top"/>
          </w:tcPr>
          <w:p>
            <w:pPr>
              <w:pStyle w:val="7"/>
              <w:spacing w:before="1" w:line="300" w:lineRule="exact"/>
              <w:ind w:left="108" w:right="84"/>
              <w:jc w:val="both"/>
              <w:rPr>
                <w:sz w:val="24"/>
              </w:rPr>
            </w:pPr>
            <w:r>
              <w:rPr>
                <w:spacing w:val="-8"/>
                <w:sz w:val="24"/>
              </w:rPr>
              <w:t>充分利用国家职业技能提升行动支持政策， 加强企业安全人才培养。督促指导省属以上重点行业领域企业通过自建或委托方式建设职业院校（技工院校），</w:t>
            </w:r>
            <w:r>
              <w:rPr>
                <w:spacing w:val="-7"/>
                <w:sz w:val="24"/>
              </w:rPr>
              <w:t>实现重点岗位人员</w:t>
            </w:r>
            <w:r>
              <w:rPr>
                <w:spacing w:val="-11"/>
                <w:sz w:val="24"/>
              </w:rPr>
              <w:t>“变招工为招生”。</w:t>
            </w:r>
          </w:p>
        </w:tc>
        <w:tc>
          <w:tcPr>
            <w:tcW w:w="4281" w:type="dxa"/>
            <w:vAlign w:val="top"/>
          </w:tcPr>
          <w:p>
            <w:pPr>
              <w:pStyle w:val="7"/>
              <w:rPr>
                <w:rFonts w:ascii="Times New Roman"/>
                <w:sz w:val="24"/>
              </w:rPr>
            </w:pPr>
          </w:p>
          <w:p>
            <w:pPr>
              <w:pStyle w:val="7"/>
              <w:spacing w:before="179" w:line="235" w:lineRule="auto"/>
              <w:ind w:left="107" w:right="95"/>
              <w:rPr>
                <w:sz w:val="24"/>
              </w:rPr>
            </w:pPr>
            <w:r>
              <w:rPr>
                <w:sz w:val="24"/>
              </w:rPr>
              <w:t>省属以上重点行业领域企业重点岗位人员实现“变招工为招生”。</w:t>
            </w:r>
          </w:p>
        </w:tc>
        <w:tc>
          <w:tcPr>
            <w:tcW w:w="4599" w:type="dxa"/>
            <w:vAlign w:val="top"/>
          </w:tcPr>
          <w:p>
            <w:pPr>
              <w:pStyle w:val="7"/>
              <w:rPr>
                <w:rFonts w:ascii="Times New Roman"/>
                <w:sz w:val="24"/>
              </w:rPr>
            </w:pPr>
          </w:p>
          <w:p>
            <w:pPr>
              <w:pStyle w:val="7"/>
              <w:spacing w:before="179" w:line="235" w:lineRule="auto"/>
              <w:ind w:left="108" w:right="96"/>
              <w:rPr>
                <w:sz w:val="24"/>
              </w:rPr>
            </w:pPr>
            <w:r>
              <w:rPr>
                <w:sz w:val="24"/>
              </w:rPr>
              <w:t>与企业主要负责人座谈交流重点岗位“变招工为招生”实施情况。</w:t>
            </w:r>
          </w:p>
        </w:tc>
      </w:tr>
      <w:tr>
        <w:trPr>
          <w:trHeight w:val="1499" w:hRule="atLeast"/>
        </w:trPr>
        <w:tc>
          <w:tcPr>
            <w:tcW w:w="939" w:type="dxa"/>
            <w:vAlign w:val="top"/>
          </w:tcPr>
          <w:p>
            <w:pPr>
              <w:pStyle w:val="7"/>
              <w:rPr>
                <w:rFonts w:ascii="Times New Roman"/>
                <w:sz w:val="24"/>
              </w:rPr>
            </w:pPr>
          </w:p>
          <w:p>
            <w:pPr>
              <w:pStyle w:val="7"/>
              <w:spacing w:before="2"/>
              <w:rPr>
                <w:rFonts w:ascii="Times New Roman"/>
                <w:sz w:val="28"/>
              </w:rPr>
            </w:pPr>
          </w:p>
          <w:p>
            <w:pPr>
              <w:pStyle w:val="7"/>
              <w:ind w:left="209" w:right="200"/>
              <w:jc w:val="center"/>
              <w:rPr>
                <w:sz w:val="24"/>
              </w:rPr>
            </w:pPr>
            <w:r>
              <w:rPr>
                <w:sz w:val="24"/>
              </w:rPr>
              <w:t>11</w:t>
            </w:r>
          </w:p>
        </w:tc>
        <w:tc>
          <w:tcPr>
            <w:tcW w:w="4640" w:type="dxa"/>
            <w:vAlign w:val="top"/>
          </w:tcPr>
          <w:p>
            <w:pPr>
              <w:pStyle w:val="7"/>
              <w:spacing w:line="300" w:lineRule="exact"/>
              <w:ind w:left="108" w:right="96"/>
              <w:jc w:val="both"/>
              <w:rPr>
                <w:sz w:val="24"/>
              </w:rPr>
            </w:pPr>
            <w:r>
              <w:rPr>
                <w:sz w:val="24"/>
              </w:rPr>
              <w:t>督促推动各类企业按照《企业安全生产标准化基本规范》（GB/T33000-2016）和行业专业标准化评定标准的要求，持续推进企业安全生产标准化建设。督促指导高危行业及规模以上企业完成自评工作。</w:t>
            </w:r>
          </w:p>
        </w:tc>
        <w:tc>
          <w:tcPr>
            <w:tcW w:w="4281" w:type="dxa"/>
            <w:vAlign w:val="top"/>
          </w:tcPr>
          <w:p>
            <w:pPr>
              <w:pStyle w:val="7"/>
              <w:spacing w:before="5"/>
              <w:rPr>
                <w:rFonts w:ascii="Times New Roman"/>
                <w:sz w:val="26"/>
              </w:rPr>
            </w:pPr>
          </w:p>
          <w:p>
            <w:pPr>
              <w:pStyle w:val="7"/>
              <w:spacing w:before="1" w:line="235" w:lineRule="auto"/>
              <w:ind w:left="107" w:right="95"/>
              <w:jc w:val="both"/>
              <w:rPr>
                <w:sz w:val="24"/>
              </w:rPr>
            </w:pPr>
            <w:r>
              <w:rPr>
                <w:spacing w:val="-3"/>
                <w:sz w:val="24"/>
              </w:rPr>
              <w:t>企业推进安全生产标准化工作，高危行</w:t>
            </w:r>
            <w:r>
              <w:rPr>
                <w:spacing w:val="13"/>
                <w:sz w:val="24"/>
              </w:rPr>
              <w:t>业及规模以上企业完成年度安全生产标准化管理体系自评工作。</w:t>
            </w:r>
          </w:p>
        </w:tc>
        <w:tc>
          <w:tcPr>
            <w:tcW w:w="4599" w:type="dxa"/>
            <w:vAlign w:val="top"/>
          </w:tcPr>
          <w:p>
            <w:pPr>
              <w:pStyle w:val="7"/>
              <w:spacing w:before="5"/>
              <w:rPr>
                <w:rFonts w:ascii="Times New Roman"/>
                <w:sz w:val="26"/>
              </w:rPr>
            </w:pPr>
          </w:p>
          <w:p>
            <w:pPr>
              <w:pStyle w:val="7"/>
              <w:spacing w:before="1" w:line="235" w:lineRule="auto"/>
              <w:ind w:left="108" w:right="96"/>
              <w:jc w:val="both"/>
              <w:rPr>
                <w:sz w:val="24"/>
              </w:rPr>
            </w:pPr>
            <w:r>
              <w:rPr>
                <w:sz w:val="24"/>
              </w:rPr>
              <w:t>查阅企业安全生产标准化年度自评报告。检查是否按规定开展，是否符合企业实际情况。</w:t>
            </w:r>
          </w:p>
        </w:tc>
      </w:tr>
      <w:tr>
        <w:trPr>
          <w:trHeight w:val="1516" w:hRule="atLeast"/>
        </w:trPr>
        <w:tc>
          <w:tcPr>
            <w:tcW w:w="939" w:type="dxa"/>
            <w:vAlign w:val="top"/>
          </w:tcPr>
          <w:p>
            <w:pPr>
              <w:pStyle w:val="7"/>
              <w:rPr>
                <w:rFonts w:ascii="Times New Roman"/>
                <w:sz w:val="24"/>
              </w:rPr>
            </w:pPr>
          </w:p>
          <w:p>
            <w:pPr>
              <w:pStyle w:val="7"/>
              <w:spacing w:before="11"/>
              <w:rPr>
                <w:rFonts w:ascii="Times New Roman"/>
                <w:sz w:val="28"/>
              </w:rPr>
            </w:pPr>
          </w:p>
          <w:p>
            <w:pPr>
              <w:pStyle w:val="7"/>
              <w:ind w:left="209" w:right="200"/>
              <w:jc w:val="center"/>
              <w:rPr>
                <w:sz w:val="24"/>
              </w:rPr>
            </w:pPr>
            <w:r>
              <w:rPr>
                <w:sz w:val="24"/>
              </w:rPr>
              <w:t>12</w:t>
            </w:r>
          </w:p>
        </w:tc>
        <w:tc>
          <w:tcPr>
            <w:tcW w:w="4640" w:type="dxa"/>
            <w:vAlign w:val="top"/>
          </w:tcPr>
          <w:p>
            <w:pPr>
              <w:pStyle w:val="7"/>
              <w:spacing w:before="9" w:line="300" w:lineRule="exact"/>
              <w:ind w:left="108" w:right="-29"/>
              <w:rPr>
                <w:sz w:val="24"/>
              </w:rPr>
            </w:pPr>
            <w:r>
              <w:rPr>
                <w:spacing w:val="18"/>
                <w:sz w:val="24"/>
              </w:rPr>
              <w:t>督促指导企业建立安全风险辨识评估制</w:t>
            </w:r>
            <w:r>
              <w:rPr>
                <w:spacing w:val="3"/>
                <w:sz w:val="24"/>
              </w:rPr>
              <w:t>度，科学制定安全风险辨识程序和方法， 定期辨识安全风险，并对其进行分类、梳</w:t>
            </w:r>
            <w:r>
              <w:rPr>
                <w:spacing w:val="-5"/>
                <w:sz w:val="24"/>
              </w:rPr>
              <w:t xml:space="preserve">理、评估，科学确定安全风险类别和等级， </w:t>
            </w:r>
            <w:r>
              <w:rPr>
                <w:sz w:val="24"/>
              </w:rPr>
              <w:t>实现“一企一清单”。</w:t>
            </w:r>
          </w:p>
        </w:tc>
        <w:tc>
          <w:tcPr>
            <w:tcW w:w="4281" w:type="dxa"/>
            <w:vAlign w:val="top"/>
          </w:tcPr>
          <w:p>
            <w:pPr>
              <w:pStyle w:val="7"/>
              <w:spacing w:before="3"/>
              <w:rPr>
                <w:rFonts w:ascii="Times New Roman"/>
                <w:sz w:val="27"/>
              </w:rPr>
            </w:pPr>
          </w:p>
          <w:p>
            <w:pPr>
              <w:pStyle w:val="7"/>
              <w:spacing w:line="235" w:lineRule="auto"/>
              <w:ind w:left="107" w:right="95"/>
              <w:jc w:val="both"/>
              <w:rPr>
                <w:sz w:val="24"/>
              </w:rPr>
            </w:pPr>
            <w:r>
              <w:rPr>
                <w:spacing w:val="-2"/>
                <w:sz w:val="24"/>
              </w:rPr>
              <w:t>企业安全风险辨识评估制度完善，安全</w:t>
            </w:r>
            <w:r>
              <w:rPr>
                <w:spacing w:val="-3"/>
                <w:sz w:val="24"/>
              </w:rPr>
              <w:t>风险类别和等级明确，实现“一企一清</w:t>
            </w:r>
            <w:r>
              <w:rPr>
                <w:sz w:val="24"/>
              </w:rPr>
              <w:t>单”。</w:t>
            </w:r>
          </w:p>
        </w:tc>
        <w:tc>
          <w:tcPr>
            <w:tcW w:w="4599" w:type="dxa"/>
            <w:vAlign w:val="top"/>
          </w:tcPr>
          <w:p>
            <w:pPr>
              <w:pStyle w:val="7"/>
              <w:numPr>
                <w:ilvl w:val="0"/>
                <w:numId w:val="8"/>
              </w:numPr>
              <w:tabs>
                <w:tab w:val="left" w:pos="351"/>
              </w:tabs>
              <w:spacing w:before="162" w:after="0" w:line="235" w:lineRule="auto"/>
              <w:ind w:left="108" w:right="96" w:firstLine="0"/>
              <w:jc w:val="left"/>
              <w:rPr>
                <w:sz w:val="24"/>
              </w:rPr>
            </w:pPr>
            <w:r>
              <w:rPr>
                <w:sz w:val="24"/>
              </w:rPr>
              <w:t>查阅企业安全风险辨识评估制度和风险分级及管控措施清单。</w:t>
            </w:r>
          </w:p>
          <w:p>
            <w:pPr>
              <w:pStyle w:val="7"/>
              <w:numPr>
                <w:ilvl w:val="0"/>
                <w:numId w:val="8"/>
              </w:numPr>
              <w:tabs>
                <w:tab w:val="left" w:pos="351"/>
              </w:tabs>
              <w:spacing w:before="0" w:after="0" w:line="235" w:lineRule="auto"/>
              <w:ind w:left="108" w:right="96" w:firstLine="0"/>
              <w:jc w:val="left"/>
              <w:rPr>
                <w:sz w:val="24"/>
              </w:rPr>
            </w:pPr>
            <w:r>
              <w:rPr>
                <w:sz w:val="24"/>
              </w:rPr>
              <w:t>检查主要风险辨识是否遗漏、评估分级是否合理、管控措施是否到位。</w:t>
            </w:r>
          </w:p>
        </w:tc>
      </w:tr>
      <w:tr>
        <w:trPr>
          <w:trHeight w:val="898" w:hRule="atLeast"/>
        </w:trPr>
        <w:tc>
          <w:tcPr>
            <w:tcW w:w="939" w:type="dxa"/>
            <w:vAlign w:val="top"/>
          </w:tcPr>
          <w:p>
            <w:pPr>
              <w:pStyle w:val="7"/>
              <w:spacing w:before="2"/>
              <w:rPr>
                <w:rFonts w:ascii="Times New Roman"/>
                <w:sz w:val="26"/>
              </w:rPr>
            </w:pPr>
          </w:p>
          <w:p>
            <w:pPr>
              <w:pStyle w:val="7"/>
              <w:ind w:left="209" w:right="200"/>
              <w:jc w:val="center"/>
              <w:rPr>
                <w:sz w:val="24"/>
              </w:rPr>
            </w:pPr>
            <w:r>
              <w:rPr>
                <w:sz w:val="24"/>
              </w:rPr>
              <w:t>13</w:t>
            </w:r>
          </w:p>
        </w:tc>
        <w:tc>
          <w:tcPr>
            <w:tcW w:w="4640" w:type="dxa"/>
            <w:vAlign w:val="top"/>
          </w:tcPr>
          <w:p>
            <w:pPr>
              <w:pStyle w:val="7"/>
              <w:spacing w:before="1" w:line="300" w:lineRule="exact"/>
              <w:ind w:left="108" w:right="96"/>
              <w:jc w:val="both"/>
              <w:rPr>
                <w:sz w:val="24"/>
              </w:rPr>
            </w:pPr>
            <w:r>
              <w:rPr>
                <w:sz w:val="24"/>
              </w:rPr>
              <w:t>督促指导企业建立安全风险管控制度，逐一落实企业、车间、班组和岗位的管控责任。</w:t>
            </w:r>
          </w:p>
        </w:tc>
        <w:tc>
          <w:tcPr>
            <w:tcW w:w="4281" w:type="dxa"/>
            <w:vAlign w:val="top"/>
          </w:tcPr>
          <w:p>
            <w:pPr>
              <w:pStyle w:val="7"/>
              <w:spacing w:before="155" w:line="235" w:lineRule="auto"/>
              <w:ind w:left="107" w:right="81"/>
              <w:rPr>
                <w:sz w:val="24"/>
              </w:rPr>
            </w:pPr>
            <w:r>
              <w:rPr>
                <w:sz w:val="24"/>
              </w:rPr>
              <w:t>建立安全风险管控制度，企业、车间、班组和岗位管控责任明确。</w:t>
            </w:r>
          </w:p>
        </w:tc>
        <w:tc>
          <w:tcPr>
            <w:tcW w:w="4599" w:type="dxa"/>
            <w:vAlign w:val="top"/>
          </w:tcPr>
          <w:p>
            <w:pPr>
              <w:pStyle w:val="7"/>
              <w:spacing w:before="155" w:line="235" w:lineRule="auto"/>
              <w:ind w:left="108" w:right="96"/>
              <w:rPr>
                <w:sz w:val="24"/>
              </w:rPr>
            </w:pPr>
            <w:r>
              <w:rPr>
                <w:sz w:val="24"/>
              </w:rPr>
              <w:t>现场抽查有关负责人、员工对安全风险辨识管控掌握和落实情况。</w:t>
            </w:r>
          </w:p>
        </w:tc>
      </w:tr>
    </w:tbl>
    <w:p>
      <w:pPr>
        <w:spacing w:after="0" w:line="235" w:lineRule="auto"/>
        <w:rPr>
          <w:sz w:val="24"/>
        </w:rPr>
        <w:sectPr>
          <w:pgSz w:w="16840" w:h="11910" w:orient="landscape"/>
          <w:pgMar w:top="1100" w:right="700" w:bottom="1100" w:left="700" w:header="0" w:footer="907"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W w:w="14459" w:type="dxa"/>
        <w:tblInd w:w="4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9"/>
        <w:gridCol w:w="4640"/>
        <w:gridCol w:w="4281"/>
        <w:gridCol w:w="4599"/>
      </w:tblGrid>
      <w:tr>
        <w:trPr>
          <w:trHeight w:val="550" w:hRule="atLeast"/>
        </w:trPr>
        <w:tc>
          <w:tcPr>
            <w:tcW w:w="939" w:type="dxa"/>
            <w:vAlign w:val="top"/>
          </w:tcPr>
          <w:p>
            <w:pPr>
              <w:pStyle w:val="7"/>
              <w:spacing w:before="126"/>
              <w:ind w:left="209" w:right="200"/>
              <w:jc w:val="center"/>
              <w:rPr>
                <w:rFonts w:hint="eastAsia" w:ascii="黑体" w:eastAsia="黑体"/>
                <w:sz w:val="24"/>
              </w:rPr>
            </w:pPr>
            <w:r>
              <w:rPr>
                <w:rFonts w:hint="eastAsia" w:ascii="黑体" w:eastAsia="黑体"/>
                <w:sz w:val="24"/>
              </w:rPr>
              <w:t>序号</w:t>
            </w:r>
          </w:p>
        </w:tc>
        <w:tc>
          <w:tcPr>
            <w:tcW w:w="4640" w:type="dxa"/>
            <w:vAlign w:val="top"/>
          </w:tcPr>
          <w:p>
            <w:pPr>
              <w:pStyle w:val="7"/>
              <w:spacing w:before="126"/>
              <w:ind w:left="1818" w:right="1811"/>
              <w:jc w:val="center"/>
              <w:rPr>
                <w:rFonts w:hint="eastAsia" w:ascii="黑体" w:eastAsia="黑体"/>
                <w:sz w:val="24"/>
              </w:rPr>
            </w:pPr>
            <w:r>
              <w:rPr>
                <w:rFonts w:hint="eastAsia" w:ascii="黑体" w:eastAsia="黑体"/>
                <w:sz w:val="24"/>
              </w:rPr>
              <w:t>主要任务</w:t>
            </w:r>
          </w:p>
        </w:tc>
        <w:tc>
          <w:tcPr>
            <w:tcW w:w="4281" w:type="dxa"/>
            <w:vAlign w:val="top"/>
          </w:tcPr>
          <w:p>
            <w:pPr>
              <w:pStyle w:val="7"/>
              <w:spacing w:before="126"/>
              <w:ind w:left="73" w:right="63"/>
              <w:jc w:val="center"/>
              <w:rPr>
                <w:rFonts w:hint="eastAsia" w:ascii="黑体" w:eastAsia="黑体"/>
                <w:sz w:val="24"/>
              </w:rPr>
            </w:pPr>
            <w:r>
              <w:rPr>
                <w:rFonts w:hint="eastAsia" w:ascii="黑体" w:eastAsia="黑体"/>
                <w:sz w:val="24"/>
              </w:rPr>
              <w:t>检查要点</w:t>
            </w:r>
          </w:p>
        </w:tc>
        <w:tc>
          <w:tcPr>
            <w:tcW w:w="4599" w:type="dxa"/>
            <w:vAlign w:val="top"/>
          </w:tcPr>
          <w:p>
            <w:pPr>
              <w:pStyle w:val="7"/>
              <w:spacing w:before="126"/>
              <w:ind w:right="1807"/>
              <w:jc w:val="right"/>
              <w:rPr>
                <w:rFonts w:hint="eastAsia" w:ascii="黑体" w:eastAsia="黑体"/>
                <w:sz w:val="24"/>
              </w:rPr>
            </w:pPr>
            <w:r>
              <w:rPr>
                <w:rFonts w:hint="eastAsia" w:ascii="黑体" w:eastAsia="黑体"/>
                <w:sz w:val="24"/>
              </w:rPr>
              <w:t>检查方式</w:t>
            </w:r>
          </w:p>
        </w:tc>
      </w:tr>
      <w:tr>
        <w:trPr>
          <w:trHeight w:val="1678" w:hRule="atLeast"/>
        </w:trPr>
        <w:tc>
          <w:tcPr>
            <w:tcW w:w="939" w:type="dxa"/>
            <w:vAlign w:val="top"/>
          </w:tcPr>
          <w:p>
            <w:pPr>
              <w:pStyle w:val="7"/>
              <w:rPr>
                <w:rFonts w:ascii="Times New Roman"/>
                <w:sz w:val="24"/>
              </w:rPr>
            </w:pPr>
          </w:p>
          <w:p>
            <w:pPr>
              <w:pStyle w:val="7"/>
              <w:spacing w:before="11"/>
              <w:rPr>
                <w:rFonts w:ascii="Times New Roman"/>
                <w:sz w:val="35"/>
              </w:rPr>
            </w:pPr>
          </w:p>
          <w:p>
            <w:pPr>
              <w:pStyle w:val="7"/>
              <w:ind w:left="209" w:right="200"/>
              <w:jc w:val="center"/>
              <w:rPr>
                <w:sz w:val="24"/>
              </w:rPr>
            </w:pPr>
            <w:r>
              <w:rPr>
                <w:sz w:val="24"/>
              </w:rPr>
              <w:t>14</w:t>
            </w:r>
          </w:p>
        </w:tc>
        <w:tc>
          <w:tcPr>
            <w:tcW w:w="4640" w:type="dxa"/>
            <w:vAlign w:val="top"/>
          </w:tcPr>
          <w:p>
            <w:pPr>
              <w:pStyle w:val="7"/>
              <w:spacing w:before="94" w:line="235" w:lineRule="auto"/>
              <w:ind w:left="108" w:right="84"/>
              <w:jc w:val="both"/>
              <w:rPr>
                <w:sz w:val="24"/>
              </w:rPr>
            </w:pPr>
            <w:r>
              <w:rPr>
                <w:spacing w:val="-8"/>
                <w:sz w:val="24"/>
              </w:rPr>
              <w:t>督促指导企业针对高危工艺、设备、物品、场所和岗位等重点环节，高度关注运营状况和危险源变化后的风险状况，动态评估、调整风险等级和管控措施，确保安全风险始终</w:t>
            </w:r>
            <w:r>
              <w:rPr>
                <w:spacing w:val="-11"/>
                <w:sz w:val="24"/>
              </w:rPr>
              <w:t>处于受控范围内。</w:t>
            </w:r>
          </w:p>
        </w:tc>
        <w:tc>
          <w:tcPr>
            <w:tcW w:w="4281" w:type="dxa"/>
            <w:vAlign w:val="top"/>
          </w:tcPr>
          <w:p>
            <w:pPr>
              <w:pStyle w:val="7"/>
              <w:rPr>
                <w:rFonts w:ascii="Times New Roman"/>
                <w:sz w:val="24"/>
              </w:rPr>
            </w:pPr>
          </w:p>
          <w:p>
            <w:pPr>
              <w:pStyle w:val="7"/>
              <w:spacing w:before="5"/>
              <w:rPr>
                <w:rFonts w:ascii="Times New Roman"/>
                <w:sz w:val="23"/>
              </w:rPr>
            </w:pPr>
          </w:p>
          <w:p>
            <w:pPr>
              <w:pStyle w:val="7"/>
              <w:spacing w:line="235" w:lineRule="auto"/>
              <w:ind w:left="107" w:right="81"/>
              <w:rPr>
                <w:sz w:val="24"/>
              </w:rPr>
            </w:pPr>
            <w:r>
              <w:rPr>
                <w:sz w:val="24"/>
              </w:rPr>
              <w:t>动态评估运营状况和危险源变化后的风险，及时调整风险等级和管控措施。</w:t>
            </w:r>
          </w:p>
        </w:tc>
        <w:tc>
          <w:tcPr>
            <w:tcW w:w="4599" w:type="dxa"/>
            <w:vAlign w:val="top"/>
          </w:tcPr>
          <w:p>
            <w:pPr>
              <w:pStyle w:val="7"/>
              <w:spacing w:before="3"/>
              <w:rPr>
                <w:rFonts w:ascii="Times New Roman"/>
                <w:sz w:val="34"/>
              </w:rPr>
            </w:pPr>
          </w:p>
          <w:p>
            <w:pPr>
              <w:pStyle w:val="7"/>
              <w:spacing w:line="235" w:lineRule="auto"/>
              <w:ind w:left="108" w:right="96"/>
              <w:jc w:val="both"/>
              <w:rPr>
                <w:sz w:val="24"/>
              </w:rPr>
            </w:pPr>
            <w:r>
              <w:rPr>
                <w:sz w:val="24"/>
              </w:rPr>
              <w:t>查阅运营状况和危险源变化前后评估结果和相应措施。检查是否对改扩建、新工艺新设备等更新风险管控清单。</w:t>
            </w:r>
          </w:p>
        </w:tc>
      </w:tr>
      <w:tr>
        <w:trPr>
          <w:trHeight w:val="1568" w:hRule="atLeast"/>
        </w:trPr>
        <w:tc>
          <w:tcPr>
            <w:tcW w:w="939" w:type="dxa"/>
            <w:vAlign w:val="top"/>
          </w:tcPr>
          <w:p>
            <w:pPr>
              <w:pStyle w:val="7"/>
              <w:rPr>
                <w:rFonts w:ascii="Times New Roman"/>
                <w:sz w:val="24"/>
              </w:rPr>
            </w:pPr>
          </w:p>
          <w:p>
            <w:pPr>
              <w:pStyle w:val="7"/>
              <w:spacing w:before="2"/>
              <w:rPr>
                <w:rFonts w:ascii="Times New Roman"/>
                <w:sz w:val="31"/>
              </w:rPr>
            </w:pPr>
          </w:p>
          <w:p>
            <w:pPr>
              <w:pStyle w:val="7"/>
              <w:ind w:left="209" w:right="200"/>
              <w:jc w:val="center"/>
              <w:rPr>
                <w:sz w:val="24"/>
              </w:rPr>
            </w:pPr>
            <w:r>
              <w:rPr>
                <w:sz w:val="24"/>
              </w:rPr>
              <w:t>15</w:t>
            </w:r>
          </w:p>
        </w:tc>
        <w:tc>
          <w:tcPr>
            <w:tcW w:w="4640" w:type="dxa"/>
            <w:vAlign w:val="top"/>
          </w:tcPr>
          <w:p>
            <w:pPr>
              <w:pStyle w:val="7"/>
              <w:spacing w:before="39" w:line="235" w:lineRule="auto"/>
              <w:ind w:left="108" w:right="74"/>
              <w:jc w:val="both"/>
              <w:rPr>
                <w:sz w:val="24"/>
              </w:rPr>
            </w:pPr>
            <w:r>
              <w:rPr>
                <w:spacing w:val="-19"/>
                <w:sz w:val="24"/>
              </w:rPr>
              <w:t>督促指导企业在醒目位置和重点区域分别设置安全风险公告栏，制作岗位安全风险告知卡， 强化危险源监测和预警，设置明显警示标志， 确保每名员工都能掌握安全风险的基本情况及</w:t>
            </w:r>
            <w:r>
              <w:rPr>
                <w:spacing w:val="-20"/>
                <w:sz w:val="24"/>
              </w:rPr>
              <w:t>防范、应急措施。</w:t>
            </w:r>
          </w:p>
        </w:tc>
        <w:tc>
          <w:tcPr>
            <w:tcW w:w="4281" w:type="dxa"/>
            <w:vAlign w:val="top"/>
          </w:tcPr>
          <w:p>
            <w:pPr>
              <w:pStyle w:val="7"/>
              <w:rPr>
                <w:rFonts w:ascii="Times New Roman"/>
                <w:sz w:val="24"/>
              </w:rPr>
            </w:pPr>
          </w:p>
          <w:p>
            <w:pPr>
              <w:pStyle w:val="7"/>
              <w:spacing w:before="215" w:line="235" w:lineRule="auto"/>
              <w:ind w:left="107" w:right="95"/>
              <w:rPr>
                <w:sz w:val="24"/>
              </w:rPr>
            </w:pPr>
            <w:r>
              <w:rPr>
                <w:sz w:val="24"/>
              </w:rPr>
              <w:t>安全风险公告栏、岗位安全风险告知卡、安全警示标志齐全有效。</w:t>
            </w:r>
          </w:p>
        </w:tc>
        <w:tc>
          <w:tcPr>
            <w:tcW w:w="4599" w:type="dxa"/>
            <w:vAlign w:val="top"/>
          </w:tcPr>
          <w:p>
            <w:pPr>
              <w:pStyle w:val="7"/>
              <w:spacing w:before="1"/>
              <w:rPr>
                <w:rFonts w:ascii="Times New Roman"/>
                <w:sz w:val="29"/>
              </w:rPr>
            </w:pPr>
          </w:p>
          <w:p>
            <w:pPr>
              <w:pStyle w:val="7"/>
              <w:spacing w:line="304" w:lineRule="exact"/>
              <w:ind w:left="108"/>
              <w:rPr>
                <w:sz w:val="24"/>
              </w:rPr>
            </w:pPr>
            <w:r>
              <w:rPr>
                <w:sz w:val="24"/>
              </w:rPr>
              <w:t>现场抽查 1 个车间的安全风险公告栏，2</w:t>
            </w:r>
          </w:p>
          <w:p>
            <w:pPr>
              <w:pStyle w:val="7"/>
              <w:spacing w:before="1" w:line="235" w:lineRule="auto"/>
              <w:ind w:left="108" w:right="28"/>
              <w:rPr>
                <w:sz w:val="24"/>
              </w:rPr>
            </w:pPr>
            <w:r>
              <w:rPr>
                <w:sz w:val="24"/>
              </w:rPr>
              <w:t>个岗位安全风险告知卡和 1 个设备设施的安全警示标志。</w:t>
            </w:r>
          </w:p>
        </w:tc>
      </w:tr>
      <w:tr>
        <w:trPr>
          <w:trHeight w:val="1200" w:hRule="atLeast"/>
        </w:trPr>
        <w:tc>
          <w:tcPr>
            <w:tcW w:w="939" w:type="dxa"/>
            <w:vAlign w:val="top"/>
          </w:tcPr>
          <w:p>
            <w:pPr>
              <w:pStyle w:val="7"/>
              <w:rPr>
                <w:rFonts w:ascii="Times New Roman"/>
                <w:sz w:val="24"/>
              </w:rPr>
            </w:pPr>
          </w:p>
          <w:p>
            <w:pPr>
              <w:pStyle w:val="7"/>
              <w:spacing w:before="175"/>
              <w:ind w:left="209" w:right="200"/>
              <w:jc w:val="center"/>
              <w:rPr>
                <w:sz w:val="24"/>
              </w:rPr>
            </w:pPr>
            <w:r>
              <w:rPr>
                <w:sz w:val="24"/>
              </w:rPr>
              <w:t>16</w:t>
            </w:r>
          </w:p>
        </w:tc>
        <w:tc>
          <w:tcPr>
            <w:tcW w:w="4640" w:type="dxa"/>
            <w:vAlign w:val="top"/>
          </w:tcPr>
          <w:p>
            <w:pPr>
              <w:pStyle w:val="7"/>
              <w:spacing w:line="300" w:lineRule="exact"/>
              <w:ind w:left="108" w:right="91"/>
              <w:jc w:val="both"/>
              <w:rPr>
                <w:sz w:val="24"/>
              </w:rPr>
            </w:pPr>
            <w:r>
              <w:rPr>
                <w:spacing w:val="3"/>
                <w:sz w:val="24"/>
              </w:rPr>
              <w:t>督促指导企业建立健全安全生产风险报告</w:t>
            </w:r>
            <w:r>
              <w:rPr>
                <w:spacing w:val="-12"/>
                <w:sz w:val="24"/>
              </w:rPr>
              <w:t>制度，明确风险管控和报告流程，接受政府监管和社会监督，定期向相关监管部门报送</w:t>
            </w:r>
            <w:r>
              <w:rPr>
                <w:spacing w:val="-4"/>
                <w:sz w:val="24"/>
              </w:rPr>
              <w:t>风险清单。</w:t>
            </w:r>
          </w:p>
        </w:tc>
        <w:tc>
          <w:tcPr>
            <w:tcW w:w="4281" w:type="dxa"/>
            <w:vAlign w:val="top"/>
          </w:tcPr>
          <w:p>
            <w:pPr>
              <w:pStyle w:val="7"/>
              <w:spacing w:before="6"/>
              <w:rPr>
                <w:rFonts w:ascii="Times New Roman"/>
                <w:sz w:val="26"/>
              </w:rPr>
            </w:pPr>
          </w:p>
          <w:p>
            <w:pPr>
              <w:pStyle w:val="7"/>
              <w:spacing w:line="235" w:lineRule="auto"/>
              <w:ind w:left="107" w:right="49"/>
              <w:rPr>
                <w:sz w:val="24"/>
              </w:rPr>
            </w:pPr>
            <w:r>
              <w:rPr>
                <w:sz w:val="24"/>
              </w:rPr>
              <w:t>安全生产风险报告制度健全，依法向相关监管部门报送风险清单。</w:t>
            </w:r>
          </w:p>
        </w:tc>
        <w:tc>
          <w:tcPr>
            <w:tcW w:w="4599" w:type="dxa"/>
            <w:vAlign w:val="top"/>
          </w:tcPr>
          <w:p>
            <w:pPr>
              <w:pStyle w:val="7"/>
              <w:rPr>
                <w:rFonts w:ascii="Times New Roman"/>
                <w:sz w:val="24"/>
              </w:rPr>
            </w:pPr>
          </w:p>
          <w:p>
            <w:pPr>
              <w:pStyle w:val="7"/>
              <w:spacing w:before="175"/>
              <w:ind w:right="1838"/>
              <w:jc w:val="right"/>
              <w:rPr>
                <w:sz w:val="24"/>
              </w:rPr>
            </w:pPr>
            <w:r>
              <w:rPr>
                <w:sz w:val="24"/>
              </w:rPr>
              <w:t>查阅企业风险清单报告。</w:t>
            </w:r>
          </w:p>
        </w:tc>
      </w:tr>
      <w:tr>
        <w:trPr>
          <w:trHeight w:val="2477" w:hRule="atLeast"/>
        </w:trPr>
        <w:tc>
          <w:tcPr>
            <w:tcW w:w="939" w:type="dxa"/>
            <w:vAlign w:val="top"/>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0"/>
              <w:rPr>
                <w:rFonts w:ascii="Times New Roman"/>
                <w:sz w:val="22"/>
              </w:rPr>
            </w:pPr>
          </w:p>
          <w:p>
            <w:pPr>
              <w:pStyle w:val="7"/>
              <w:spacing w:before="1"/>
              <w:ind w:left="209" w:right="200"/>
              <w:jc w:val="center"/>
              <w:rPr>
                <w:sz w:val="24"/>
              </w:rPr>
            </w:pPr>
            <w:r>
              <w:rPr>
                <w:sz w:val="24"/>
              </w:rPr>
              <w:t>17</w:t>
            </w:r>
          </w:p>
        </w:tc>
        <w:tc>
          <w:tcPr>
            <w:tcW w:w="4640" w:type="dxa"/>
            <w:vAlign w:val="top"/>
          </w:tcPr>
          <w:p>
            <w:pPr>
              <w:pStyle w:val="7"/>
              <w:spacing w:before="45" w:line="235" w:lineRule="auto"/>
              <w:ind w:left="108" w:right="96"/>
              <w:jc w:val="both"/>
              <w:rPr>
                <w:sz w:val="24"/>
              </w:rPr>
            </w:pPr>
            <w:r>
              <w:rPr>
                <w:sz w:val="24"/>
              </w:rPr>
              <w:t>督促指导企业建立健全以风险辨识管控为基础的隐患排查治理制度，制定符合企业实际的隐患排查治理清单，完善隐患排查治理等重点环节的程序、方法和标准，明确和细化隐患排查的事项、内容和频次， 并及时向负有安全监督管理职责的部门和企业职代会“双报告”风险管控和隐患排查治理情况。</w:t>
            </w:r>
          </w:p>
        </w:tc>
        <w:tc>
          <w:tcPr>
            <w:tcW w:w="4281" w:type="dxa"/>
            <w:vAlign w:val="top"/>
          </w:tcPr>
          <w:p>
            <w:pPr>
              <w:pStyle w:val="7"/>
              <w:rPr>
                <w:rFonts w:ascii="Times New Roman"/>
                <w:sz w:val="24"/>
              </w:rPr>
            </w:pPr>
          </w:p>
          <w:p>
            <w:pPr>
              <w:pStyle w:val="7"/>
              <w:spacing w:before="1"/>
              <w:rPr>
                <w:rFonts w:ascii="Times New Roman"/>
                <w:sz w:val="32"/>
              </w:rPr>
            </w:pPr>
          </w:p>
          <w:p>
            <w:pPr>
              <w:pStyle w:val="7"/>
              <w:spacing w:line="235" w:lineRule="auto"/>
              <w:ind w:left="107" w:right="95"/>
              <w:jc w:val="both"/>
              <w:rPr>
                <w:sz w:val="24"/>
              </w:rPr>
            </w:pPr>
            <w:r>
              <w:rPr>
                <w:spacing w:val="-3"/>
                <w:sz w:val="24"/>
              </w:rPr>
              <w:t>企业隐患排查治理制度完善，及时向负</w:t>
            </w:r>
            <w:r>
              <w:rPr>
                <w:spacing w:val="13"/>
                <w:sz w:val="24"/>
              </w:rPr>
              <w:t>有安全生产监督管理职责的部门和企</w:t>
            </w:r>
            <w:r>
              <w:rPr>
                <w:spacing w:val="-1"/>
                <w:sz w:val="24"/>
              </w:rPr>
              <w:t>业职代会“双报告”风险管控和隐患排</w:t>
            </w:r>
            <w:r>
              <w:rPr>
                <w:sz w:val="24"/>
              </w:rPr>
              <w:t>查治理情况。</w:t>
            </w:r>
          </w:p>
        </w:tc>
        <w:tc>
          <w:tcPr>
            <w:tcW w:w="4599" w:type="dxa"/>
            <w:vAlign w:val="top"/>
          </w:tcPr>
          <w:p>
            <w:pPr>
              <w:pStyle w:val="7"/>
              <w:rPr>
                <w:rFonts w:ascii="Times New Roman"/>
                <w:sz w:val="30"/>
              </w:rPr>
            </w:pPr>
          </w:p>
          <w:p>
            <w:pPr>
              <w:pStyle w:val="7"/>
              <w:numPr>
                <w:ilvl w:val="0"/>
                <w:numId w:val="9"/>
              </w:numPr>
              <w:tabs>
                <w:tab w:val="left" w:pos="469"/>
              </w:tabs>
              <w:spacing w:before="0" w:after="0" w:line="235" w:lineRule="auto"/>
              <w:ind w:left="108" w:right="96" w:firstLine="0"/>
              <w:jc w:val="left"/>
              <w:rPr>
                <w:sz w:val="24"/>
              </w:rPr>
            </w:pPr>
            <w:r>
              <w:rPr>
                <w:spacing w:val="-6"/>
                <w:sz w:val="24"/>
              </w:rPr>
              <w:t>查阅企业隐患排查治理制度，是否明确</w:t>
            </w:r>
            <w:r>
              <w:rPr>
                <w:sz w:val="24"/>
              </w:rPr>
              <w:t>责任、机制、程序、方法、资金等要求。</w:t>
            </w:r>
          </w:p>
          <w:p>
            <w:pPr>
              <w:pStyle w:val="7"/>
              <w:numPr>
                <w:ilvl w:val="0"/>
                <w:numId w:val="9"/>
              </w:numPr>
              <w:tabs>
                <w:tab w:val="left" w:pos="452"/>
              </w:tabs>
              <w:spacing w:before="0" w:after="0" w:line="235" w:lineRule="auto"/>
              <w:ind w:left="108" w:right="96" w:firstLine="0"/>
              <w:jc w:val="left"/>
              <w:rPr>
                <w:sz w:val="24"/>
              </w:rPr>
            </w:pPr>
            <w:r>
              <w:rPr>
                <w:spacing w:val="-5"/>
                <w:sz w:val="24"/>
              </w:rPr>
              <w:t>查阅企业隐患排查治理清单，是否明确</w:t>
            </w:r>
            <w:r>
              <w:rPr>
                <w:sz w:val="24"/>
              </w:rPr>
              <w:t>和细化隐患排查的事项、内容和频次。 3.查阅企业隐患排查治理台账是否规范健全，“双报告”记录。</w:t>
            </w:r>
          </w:p>
        </w:tc>
      </w:tr>
    </w:tbl>
    <w:p>
      <w:pPr>
        <w:spacing w:after="0" w:line="235" w:lineRule="auto"/>
        <w:jc w:val="left"/>
        <w:rPr>
          <w:sz w:val="24"/>
        </w:rPr>
        <w:sectPr>
          <w:pgSz w:w="16840" w:h="11910" w:orient="landscape"/>
          <w:pgMar w:top="1100" w:right="700" w:bottom="1100" w:left="700" w:header="0" w:footer="907"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W w:w="14459" w:type="dxa"/>
        <w:tblInd w:w="4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9"/>
        <w:gridCol w:w="4640"/>
        <w:gridCol w:w="4281"/>
        <w:gridCol w:w="4599"/>
      </w:tblGrid>
      <w:tr>
        <w:trPr>
          <w:trHeight w:val="550" w:hRule="atLeast"/>
        </w:trPr>
        <w:tc>
          <w:tcPr>
            <w:tcW w:w="939" w:type="dxa"/>
            <w:vAlign w:val="top"/>
          </w:tcPr>
          <w:p>
            <w:pPr>
              <w:pStyle w:val="7"/>
              <w:spacing w:before="126"/>
              <w:ind w:left="209" w:right="200"/>
              <w:jc w:val="center"/>
              <w:rPr>
                <w:rFonts w:hint="eastAsia" w:ascii="黑体" w:eastAsia="黑体"/>
                <w:sz w:val="24"/>
              </w:rPr>
            </w:pPr>
            <w:r>
              <w:rPr>
                <w:rFonts w:hint="eastAsia" w:ascii="黑体" w:eastAsia="黑体"/>
                <w:sz w:val="24"/>
              </w:rPr>
              <w:t>序号</w:t>
            </w:r>
          </w:p>
        </w:tc>
        <w:tc>
          <w:tcPr>
            <w:tcW w:w="4640" w:type="dxa"/>
            <w:vAlign w:val="top"/>
          </w:tcPr>
          <w:p>
            <w:pPr>
              <w:pStyle w:val="7"/>
              <w:spacing w:before="126"/>
              <w:ind w:left="1818" w:right="1811"/>
              <w:jc w:val="center"/>
              <w:rPr>
                <w:rFonts w:hint="eastAsia" w:ascii="黑体" w:eastAsia="黑体"/>
                <w:sz w:val="24"/>
              </w:rPr>
            </w:pPr>
            <w:r>
              <w:rPr>
                <w:rFonts w:hint="eastAsia" w:ascii="黑体" w:eastAsia="黑体"/>
                <w:sz w:val="24"/>
              </w:rPr>
              <w:t>主要任务</w:t>
            </w:r>
          </w:p>
        </w:tc>
        <w:tc>
          <w:tcPr>
            <w:tcW w:w="4281" w:type="dxa"/>
            <w:vAlign w:val="top"/>
          </w:tcPr>
          <w:p>
            <w:pPr>
              <w:pStyle w:val="7"/>
              <w:spacing w:before="126"/>
              <w:ind w:left="73" w:right="63"/>
              <w:jc w:val="center"/>
              <w:rPr>
                <w:rFonts w:hint="eastAsia" w:ascii="黑体" w:eastAsia="黑体"/>
                <w:sz w:val="24"/>
              </w:rPr>
            </w:pPr>
            <w:r>
              <w:rPr>
                <w:rFonts w:hint="eastAsia" w:ascii="黑体" w:eastAsia="黑体"/>
                <w:sz w:val="24"/>
              </w:rPr>
              <w:t>检查要点</w:t>
            </w:r>
          </w:p>
        </w:tc>
        <w:tc>
          <w:tcPr>
            <w:tcW w:w="4599" w:type="dxa"/>
            <w:vAlign w:val="top"/>
          </w:tcPr>
          <w:p>
            <w:pPr>
              <w:pStyle w:val="7"/>
              <w:spacing w:before="126"/>
              <w:ind w:left="1799" w:right="1789"/>
              <w:jc w:val="center"/>
              <w:rPr>
                <w:rFonts w:hint="eastAsia" w:ascii="黑体" w:eastAsia="黑体"/>
                <w:sz w:val="24"/>
              </w:rPr>
            </w:pPr>
            <w:r>
              <w:rPr>
                <w:rFonts w:hint="eastAsia" w:ascii="黑体" w:eastAsia="黑体"/>
                <w:sz w:val="24"/>
              </w:rPr>
              <w:t>检查方式</w:t>
            </w:r>
          </w:p>
        </w:tc>
      </w:tr>
      <w:tr>
        <w:trPr>
          <w:trHeight w:val="1266" w:hRule="atLeast"/>
        </w:trPr>
        <w:tc>
          <w:tcPr>
            <w:tcW w:w="939" w:type="dxa"/>
            <w:vAlign w:val="top"/>
          </w:tcPr>
          <w:p>
            <w:pPr>
              <w:pStyle w:val="7"/>
              <w:rPr>
                <w:rFonts w:ascii="Times New Roman"/>
                <w:sz w:val="24"/>
              </w:rPr>
            </w:pPr>
          </w:p>
          <w:p>
            <w:pPr>
              <w:pStyle w:val="7"/>
              <w:spacing w:before="207"/>
              <w:ind w:left="209" w:right="200"/>
              <w:jc w:val="center"/>
              <w:rPr>
                <w:sz w:val="24"/>
              </w:rPr>
            </w:pPr>
            <w:r>
              <w:rPr>
                <w:sz w:val="24"/>
              </w:rPr>
              <w:t>18</w:t>
            </w:r>
          </w:p>
        </w:tc>
        <w:tc>
          <w:tcPr>
            <w:tcW w:w="4640" w:type="dxa"/>
            <w:vAlign w:val="top"/>
          </w:tcPr>
          <w:p>
            <w:pPr>
              <w:pStyle w:val="7"/>
              <w:spacing w:before="39" w:line="235" w:lineRule="auto"/>
              <w:ind w:left="108" w:right="96"/>
              <w:jc w:val="both"/>
              <w:rPr>
                <w:sz w:val="24"/>
              </w:rPr>
            </w:pPr>
            <w:r>
              <w:rPr>
                <w:sz w:val="24"/>
              </w:rPr>
              <w:t>督促指导企业按照有关行业重大事故隐患判定标准，加强对重大事故隐患治理，制定并实施严格的隐患治理方案，并向负有监管职责的部门报告。</w:t>
            </w:r>
          </w:p>
        </w:tc>
        <w:tc>
          <w:tcPr>
            <w:tcW w:w="4281" w:type="dxa"/>
            <w:vAlign w:val="top"/>
          </w:tcPr>
          <w:p>
            <w:pPr>
              <w:pStyle w:val="7"/>
              <w:spacing w:before="5"/>
              <w:rPr>
                <w:rFonts w:ascii="Times New Roman"/>
                <w:sz w:val="29"/>
              </w:rPr>
            </w:pPr>
          </w:p>
          <w:p>
            <w:pPr>
              <w:pStyle w:val="7"/>
              <w:spacing w:line="235" w:lineRule="auto"/>
              <w:ind w:left="107" w:right="95"/>
              <w:rPr>
                <w:sz w:val="24"/>
              </w:rPr>
            </w:pPr>
            <w:r>
              <w:rPr>
                <w:sz w:val="24"/>
              </w:rPr>
              <w:t>企业对照重大事故隐患判定标准自查自改到位。</w:t>
            </w:r>
          </w:p>
        </w:tc>
        <w:tc>
          <w:tcPr>
            <w:tcW w:w="4599" w:type="dxa"/>
            <w:vAlign w:val="top"/>
          </w:tcPr>
          <w:p>
            <w:pPr>
              <w:pStyle w:val="7"/>
              <w:numPr>
                <w:ilvl w:val="0"/>
                <w:numId w:val="10"/>
              </w:numPr>
              <w:tabs>
                <w:tab w:val="left" w:pos="351"/>
              </w:tabs>
              <w:spacing w:before="39" w:after="0" w:line="235" w:lineRule="auto"/>
              <w:ind w:left="108" w:right="98" w:firstLine="0"/>
              <w:jc w:val="left"/>
              <w:rPr>
                <w:sz w:val="24"/>
              </w:rPr>
            </w:pPr>
            <w:r>
              <w:rPr>
                <w:sz w:val="24"/>
              </w:rPr>
              <w:t>是否按照重大隐患判定标准排查治理重大事故隐患。</w:t>
            </w:r>
          </w:p>
          <w:p>
            <w:pPr>
              <w:pStyle w:val="7"/>
              <w:numPr>
                <w:ilvl w:val="0"/>
                <w:numId w:val="10"/>
              </w:numPr>
              <w:tabs>
                <w:tab w:val="left" w:pos="351"/>
              </w:tabs>
              <w:spacing w:before="0" w:after="0" w:line="235" w:lineRule="auto"/>
              <w:ind w:left="108" w:right="96" w:firstLine="0"/>
              <w:jc w:val="left"/>
              <w:rPr>
                <w:sz w:val="24"/>
              </w:rPr>
            </w:pPr>
            <w:r>
              <w:rPr>
                <w:sz w:val="24"/>
              </w:rPr>
              <w:t>现场抽查企业重点环节、部位、设备设施重大隐患排查治理情况。</w:t>
            </w:r>
          </w:p>
        </w:tc>
      </w:tr>
      <w:tr>
        <w:trPr>
          <w:trHeight w:val="1368" w:hRule="atLeast"/>
        </w:trPr>
        <w:tc>
          <w:tcPr>
            <w:tcW w:w="939" w:type="dxa"/>
            <w:vAlign w:val="top"/>
          </w:tcPr>
          <w:p>
            <w:pPr>
              <w:pStyle w:val="7"/>
              <w:rPr>
                <w:rFonts w:ascii="Times New Roman"/>
                <w:sz w:val="24"/>
              </w:rPr>
            </w:pPr>
          </w:p>
          <w:p>
            <w:pPr>
              <w:pStyle w:val="7"/>
              <w:spacing w:before="5"/>
              <w:rPr>
                <w:rFonts w:ascii="Times New Roman"/>
                <w:sz w:val="22"/>
              </w:rPr>
            </w:pPr>
          </w:p>
          <w:p>
            <w:pPr>
              <w:pStyle w:val="7"/>
              <w:ind w:left="209" w:right="200"/>
              <w:jc w:val="center"/>
              <w:rPr>
                <w:sz w:val="24"/>
              </w:rPr>
            </w:pPr>
            <w:r>
              <w:rPr>
                <w:sz w:val="24"/>
              </w:rPr>
              <w:t>19</w:t>
            </w:r>
          </w:p>
        </w:tc>
        <w:tc>
          <w:tcPr>
            <w:tcW w:w="4640" w:type="dxa"/>
            <w:vAlign w:val="top"/>
          </w:tcPr>
          <w:p>
            <w:pPr>
              <w:pStyle w:val="7"/>
              <w:spacing w:before="90" w:line="235" w:lineRule="auto"/>
              <w:ind w:left="108" w:right="96"/>
              <w:jc w:val="both"/>
              <w:rPr>
                <w:sz w:val="24"/>
              </w:rPr>
            </w:pPr>
            <w:r>
              <w:rPr>
                <w:sz w:val="24"/>
              </w:rPr>
              <w:t>督促指导各地区和各类企业建立完善隐患排查治理“一张网”信息化管理系统，做到自查自改自报，实现动态分析、全过程记录管理和评价。</w:t>
            </w:r>
          </w:p>
        </w:tc>
        <w:tc>
          <w:tcPr>
            <w:tcW w:w="4281" w:type="dxa"/>
            <w:vAlign w:val="top"/>
          </w:tcPr>
          <w:p>
            <w:pPr>
              <w:pStyle w:val="7"/>
              <w:spacing w:before="90" w:line="235" w:lineRule="auto"/>
              <w:ind w:left="107" w:right="95"/>
              <w:jc w:val="both"/>
              <w:rPr>
                <w:sz w:val="24"/>
              </w:rPr>
            </w:pPr>
            <w:r>
              <w:rPr>
                <w:spacing w:val="-3"/>
                <w:sz w:val="24"/>
              </w:rPr>
              <w:t>企业使用隐患排查治理“一张网”信息</w:t>
            </w:r>
            <w:r>
              <w:rPr>
                <w:spacing w:val="-4"/>
                <w:sz w:val="24"/>
              </w:rPr>
              <w:t>化管理系统，实现隐患排查治理自查自</w:t>
            </w:r>
            <w:r>
              <w:rPr>
                <w:spacing w:val="-3"/>
                <w:sz w:val="24"/>
              </w:rPr>
              <w:t>改自报和动态分析、全过程记录管理及</w:t>
            </w:r>
            <w:r>
              <w:rPr>
                <w:sz w:val="24"/>
              </w:rPr>
              <w:t>评价。</w:t>
            </w:r>
          </w:p>
        </w:tc>
        <w:tc>
          <w:tcPr>
            <w:tcW w:w="4599" w:type="dxa"/>
            <w:vAlign w:val="top"/>
          </w:tcPr>
          <w:p>
            <w:pPr>
              <w:pStyle w:val="7"/>
              <w:spacing w:before="10"/>
              <w:rPr>
                <w:rFonts w:ascii="Times New Roman"/>
                <w:sz w:val="33"/>
              </w:rPr>
            </w:pPr>
          </w:p>
          <w:p>
            <w:pPr>
              <w:pStyle w:val="7"/>
              <w:spacing w:before="1" w:line="235" w:lineRule="auto"/>
              <w:ind w:left="108" w:right="96"/>
              <w:rPr>
                <w:sz w:val="24"/>
              </w:rPr>
            </w:pPr>
            <w:r>
              <w:rPr>
                <w:sz w:val="24"/>
              </w:rPr>
              <w:t>查阅企业隐患排查治理“一张网”信息化管理系统运行情况。</w:t>
            </w:r>
          </w:p>
        </w:tc>
      </w:tr>
      <w:tr>
        <w:trPr>
          <w:trHeight w:val="1313" w:hRule="atLeast"/>
        </w:trPr>
        <w:tc>
          <w:tcPr>
            <w:tcW w:w="939" w:type="dxa"/>
            <w:vAlign w:val="top"/>
          </w:tcPr>
          <w:p>
            <w:pPr>
              <w:pStyle w:val="7"/>
              <w:rPr>
                <w:rFonts w:ascii="Times New Roman"/>
                <w:sz w:val="24"/>
              </w:rPr>
            </w:pPr>
          </w:p>
          <w:p>
            <w:pPr>
              <w:pStyle w:val="7"/>
              <w:spacing w:before="3"/>
              <w:rPr>
                <w:rFonts w:ascii="Times New Roman"/>
                <w:sz w:val="20"/>
              </w:rPr>
            </w:pPr>
          </w:p>
          <w:p>
            <w:pPr>
              <w:pStyle w:val="7"/>
              <w:ind w:left="209" w:right="200"/>
              <w:jc w:val="center"/>
              <w:rPr>
                <w:sz w:val="24"/>
              </w:rPr>
            </w:pPr>
            <w:r>
              <w:rPr>
                <w:sz w:val="24"/>
              </w:rPr>
              <w:t>20</w:t>
            </w:r>
          </w:p>
        </w:tc>
        <w:tc>
          <w:tcPr>
            <w:tcW w:w="4640" w:type="dxa"/>
            <w:vAlign w:val="top"/>
          </w:tcPr>
          <w:p>
            <w:pPr>
              <w:pStyle w:val="7"/>
              <w:spacing w:before="62" w:line="235" w:lineRule="auto"/>
              <w:ind w:left="108" w:right="-29"/>
              <w:rPr>
                <w:sz w:val="24"/>
              </w:rPr>
            </w:pPr>
            <w:r>
              <w:rPr>
                <w:spacing w:val="-8"/>
                <w:sz w:val="24"/>
              </w:rPr>
              <w:t>督促指导企业通过各种方式途径，向社会和</w:t>
            </w:r>
            <w:r>
              <w:rPr>
                <w:spacing w:val="-18"/>
                <w:sz w:val="24"/>
              </w:rPr>
              <w:t>全体员工公开落实主体责任、健全管理体系、</w:t>
            </w:r>
            <w:r>
              <w:rPr>
                <w:spacing w:val="-8"/>
                <w:sz w:val="24"/>
              </w:rPr>
              <w:t>加大安全投入、严格风险管控、强化隐患治理等情况。</w:t>
            </w:r>
          </w:p>
        </w:tc>
        <w:tc>
          <w:tcPr>
            <w:tcW w:w="4281" w:type="dxa"/>
            <w:vAlign w:val="top"/>
          </w:tcPr>
          <w:p>
            <w:pPr>
              <w:pStyle w:val="7"/>
              <w:rPr>
                <w:rFonts w:ascii="Times New Roman"/>
                <w:sz w:val="24"/>
              </w:rPr>
            </w:pPr>
          </w:p>
          <w:p>
            <w:pPr>
              <w:pStyle w:val="7"/>
              <w:spacing w:before="3"/>
              <w:rPr>
                <w:rFonts w:ascii="Times New Roman"/>
                <w:sz w:val="20"/>
              </w:rPr>
            </w:pPr>
          </w:p>
          <w:p>
            <w:pPr>
              <w:pStyle w:val="7"/>
              <w:ind w:left="87" w:right="63"/>
              <w:jc w:val="center"/>
              <w:rPr>
                <w:sz w:val="24"/>
              </w:rPr>
            </w:pPr>
            <w:r>
              <w:rPr>
                <w:sz w:val="24"/>
              </w:rPr>
              <w:t>企业公开向社会和全体员工作出承诺。</w:t>
            </w:r>
          </w:p>
        </w:tc>
        <w:tc>
          <w:tcPr>
            <w:tcW w:w="4599" w:type="dxa"/>
            <w:vAlign w:val="top"/>
          </w:tcPr>
          <w:p>
            <w:pPr>
              <w:pStyle w:val="7"/>
              <w:rPr>
                <w:rFonts w:ascii="Times New Roman"/>
                <w:sz w:val="24"/>
              </w:rPr>
            </w:pPr>
          </w:p>
          <w:p>
            <w:pPr>
              <w:pStyle w:val="7"/>
              <w:spacing w:before="3"/>
              <w:rPr>
                <w:rFonts w:ascii="Times New Roman"/>
                <w:sz w:val="20"/>
              </w:rPr>
            </w:pPr>
          </w:p>
          <w:p>
            <w:pPr>
              <w:pStyle w:val="7"/>
              <w:ind w:left="108"/>
              <w:rPr>
                <w:sz w:val="24"/>
              </w:rPr>
            </w:pPr>
            <w:r>
              <w:rPr>
                <w:sz w:val="24"/>
              </w:rPr>
              <w:t>查阅企业安全生产承诺记录。</w:t>
            </w:r>
          </w:p>
        </w:tc>
      </w:tr>
    </w:tbl>
    <w:p>
      <w:pPr>
        <w:spacing w:after="0"/>
        <w:rPr>
          <w:sz w:val="24"/>
        </w:rPr>
        <w:sectPr>
          <w:pgSz w:w="16840" w:h="11910" w:orient="landscape"/>
          <w:pgMar w:top="1100" w:right="700" w:bottom="1100" w:left="700" w:header="0" w:footer="907"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1"/>
        <w:rPr>
          <w:rFonts w:ascii="Times New Roman"/>
          <w:sz w:val="16"/>
        </w:rPr>
      </w:pPr>
    </w:p>
    <w:p>
      <w:pPr>
        <w:pStyle w:val="6"/>
        <w:numPr>
          <w:ilvl w:val="1"/>
          <w:numId w:val="1"/>
        </w:numPr>
        <w:tabs>
          <w:tab w:val="left" w:pos="3705"/>
        </w:tabs>
        <w:spacing w:before="57" w:after="0" w:line="240" w:lineRule="auto"/>
        <w:ind w:left="3704" w:right="0" w:hanging="3705"/>
        <w:jc w:val="left"/>
        <w:rPr>
          <w:rFonts w:hint="eastAsia" w:ascii="宋体" w:hAnsi="宋体" w:eastAsia="宋体" w:cs="宋体"/>
          <w:b/>
          <w:bCs/>
          <w:sz w:val="44"/>
        </w:rPr>
      </w:pPr>
      <w:r>
        <w:rPr>
          <w:rFonts w:hint="eastAsia" w:ascii="宋体" w:hAnsi="宋体" w:eastAsia="宋体" w:cs="宋体"/>
          <w:b/>
          <w:bCs/>
          <w:sz w:val="44"/>
        </w:rPr>
        <w:t>双重预防体系建设</w:t>
      </w:r>
      <w:bookmarkStart w:id="0" w:name="_GoBack"/>
      <w:bookmarkEnd w:id="0"/>
      <w:r>
        <w:rPr>
          <w:rFonts w:hint="eastAsia" w:ascii="宋体" w:hAnsi="宋体" w:eastAsia="宋体" w:cs="宋体"/>
          <w:b/>
          <w:bCs/>
          <w:sz w:val="44"/>
        </w:rPr>
        <w:t>执法内容和依据</w:t>
      </w:r>
    </w:p>
    <w:p>
      <w:pPr>
        <w:pStyle w:val="2"/>
        <w:rPr>
          <w:rFonts w:ascii="PMingLiU"/>
          <w:sz w:val="20"/>
        </w:rPr>
      </w:pPr>
    </w:p>
    <w:p>
      <w:pPr>
        <w:pStyle w:val="2"/>
        <w:spacing w:before="11"/>
        <w:rPr>
          <w:rFonts w:ascii="PMingLiU"/>
          <w:sz w:val="20"/>
        </w:rPr>
      </w:pPr>
    </w:p>
    <w:tbl>
      <w:tblPr>
        <w:tblW w:w="15218"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7"/>
        <w:gridCol w:w="656"/>
        <w:gridCol w:w="711"/>
        <w:gridCol w:w="2145"/>
        <w:gridCol w:w="7306"/>
        <w:gridCol w:w="2969"/>
        <w:gridCol w:w="774"/>
      </w:tblGrid>
      <w:tr>
        <w:trPr>
          <w:trHeight w:val="523" w:hRule="atLeast"/>
        </w:trPr>
        <w:tc>
          <w:tcPr>
            <w:tcW w:w="657" w:type="dxa"/>
            <w:vAlign w:val="top"/>
          </w:tcPr>
          <w:p>
            <w:pPr>
              <w:pStyle w:val="7"/>
              <w:spacing w:before="126"/>
              <w:ind w:left="97" w:right="90"/>
              <w:jc w:val="center"/>
              <w:rPr>
                <w:rFonts w:hint="eastAsia" w:ascii="黑体" w:eastAsia="黑体"/>
                <w:sz w:val="21"/>
              </w:rPr>
            </w:pPr>
            <w:r>
              <w:rPr>
                <w:rFonts w:hint="eastAsia" w:ascii="黑体" w:eastAsia="黑体"/>
                <w:sz w:val="21"/>
              </w:rPr>
              <w:t>序号</w:t>
            </w:r>
          </w:p>
        </w:tc>
        <w:tc>
          <w:tcPr>
            <w:tcW w:w="656" w:type="dxa"/>
            <w:vAlign w:val="top"/>
          </w:tcPr>
          <w:p>
            <w:pPr>
              <w:pStyle w:val="7"/>
              <w:spacing w:before="126"/>
              <w:ind w:left="116"/>
              <w:rPr>
                <w:rFonts w:hint="eastAsia" w:ascii="黑体" w:eastAsia="黑体"/>
                <w:sz w:val="21"/>
              </w:rPr>
            </w:pPr>
            <w:r>
              <w:rPr>
                <w:rFonts w:hint="eastAsia" w:ascii="黑体" w:eastAsia="黑体"/>
                <w:sz w:val="21"/>
              </w:rPr>
              <w:t>类别</w:t>
            </w:r>
          </w:p>
        </w:tc>
        <w:tc>
          <w:tcPr>
            <w:tcW w:w="711" w:type="dxa"/>
            <w:vAlign w:val="top"/>
          </w:tcPr>
          <w:p>
            <w:pPr>
              <w:pStyle w:val="7"/>
              <w:spacing w:before="126"/>
              <w:ind w:left="144"/>
              <w:rPr>
                <w:rFonts w:hint="eastAsia" w:ascii="黑体" w:eastAsia="黑体"/>
                <w:sz w:val="21"/>
              </w:rPr>
            </w:pPr>
            <w:r>
              <w:rPr>
                <w:rFonts w:hint="eastAsia" w:ascii="黑体" w:eastAsia="黑体"/>
                <w:sz w:val="21"/>
              </w:rPr>
              <w:t>项目</w:t>
            </w:r>
          </w:p>
        </w:tc>
        <w:tc>
          <w:tcPr>
            <w:tcW w:w="2145" w:type="dxa"/>
            <w:vAlign w:val="top"/>
          </w:tcPr>
          <w:p>
            <w:pPr>
              <w:pStyle w:val="7"/>
              <w:spacing w:before="126"/>
              <w:ind w:left="650"/>
              <w:rPr>
                <w:rFonts w:hint="eastAsia" w:ascii="黑体" w:eastAsia="黑体"/>
                <w:sz w:val="21"/>
              </w:rPr>
            </w:pPr>
            <w:r>
              <w:rPr>
                <w:rFonts w:hint="eastAsia" w:ascii="黑体" w:eastAsia="黑体"/>
                <w:sz w:val="21"/>
              </w:rPr>
              <w:t>检查内容</w:t>
            </w:r>
          </w:p>
        </w:tc>
        <w:tc>
          <w:tcPr>
            <w:tcW w:w="7306" w:type="dxa"/>
            <w:vAlign w:val="top"/>
          </w:tcPr>
          <w:p>
            <w:pPr>
              <w:pStyle w:val="7"/>
              <w:spacing w:before="126"/>
              <w:ind w:left="3212" w:right="3204"/>
              <w:jc w:val="center"/>
              <w:rPr>
                <w:rFonts w:hint="eastAsia" w:ascii="黑体" w:eastAsia="黑体"/>
                <w:sz w:val="21"/>
              </w:rPr>
            </w:pPr>
            <w:r>
              <w:rPr>
                <w:rFonts w:hint="eastAsia" w:ascii="黑体" w:eastAsia="黑体"/>
                <w:sz w:val="21"/>
              </w:rPr>
              <w:t>检查依据</w:t>
            </w:r>
          </w:p>
        </w:tc>
        <w:tc>
          <w:tcPr>
            <w:tcW w:w="2969" w:type="dxa"/>
            <w:vAlign w:val="top"/>
          </w:tcPr>
          <w:p>
            <w:pPr>
              <w:pStyle w:val="7"/>
              <w:spacing w:before="126"/>
              <w:ind w:left="537"/>
              <w:rPr>
                <w:rFonts w:hint="eastAsia" w:ascii="黑体" w:eastAsia="黑体"/>
                <w:sz w:val="21"/>
              </w:rPr>
            </w:pPr>
            <w:r>
              <w:rPr>
                <w:rFonts w:hint="eastAsia" w:ascii="黑体" w:eastAsia="黑体"/>
                <w:sz w:val="21"/>
              </w:rPr>
              <w:t>处罚依据和整改建议</w:t>
            </w:r>
          </w:p>
        </w:tc>
        <w:tc>
          <w:tcPr>
            <w:tcW w:w="774" w:type="dxa"/>
            <w:vAlign w:val="top"/>
          </w:tcPr>
          <w:p>
            <w:pPr>
              <w:pStyle w:val="7"/>
              <w:spacing w:before="126"/>
              <w:ind w:left="177"/>
              <w:rPr>
                <w:rFonts w:hint="eastAsia" w:ascii="黑体" w:eastAsia="黑体"/>
                <w:sz w:val="21"/>
              </w:rPr>
            </w:pPr>
            <w:r>
              <w:rPr>
                <w:rFonts w:hint="eastAsia" w:ascii="黑体" w:eastAsia="黑体"/>
                <w:sz w:val="21"/>
              </w:rPr>
              <w:t>备注</w:t>
            </w:r>
          </w:p>
        </w:tc>
      </w:tr>
      <w:tr>
        <w:trPr>
          <w:trHeight w:val="5973" w:hRule="atLeast"/>
        </w:trPr>
        <w:tc>
          <w:tcPr>
            <w:tcW w:w="657" w:type="dxa"/>
            <w:vAlign w:val="top"/>
          </w:tcPr>
          <w:p>
            <w:pPr>
              <w:pStyle w:val="7"/>
              <w:rPr>
                <w:rFonts w:ascii="PMingLiU"/>
                <w:sz w:val="20"/>
              </w:rPr>
            </w:pPr>
          </w:p>
          <w:p>
            <w:pPr>
              <w:pStyle w:val="7"/>
              <w:rPr>
                <w:rFonts w:ascii="PMingLiU"/>
                <w:sz w:val="20"/>
              </w:rPr>
            </w:pPr>
          </w:p>
          <w:p>
            <w:pPr>
              <w:pStyle w:val="7"/>
              <w:rPr>
                <w:rFonts w:ascii="PMingLiU"/>
                <w:sz w:val="20"/>
              </w:rPr>
            </w:pPr>
          </w:p>
          <w:p>
            <w:pPr>
              <w:pStyle w:val="7"/>
              <w:rPr>
                <w:rFonts w:ascii="PMingLiU"/>
                <w:sz w:val="20"/>
              </w:rPr>
            </w:pPr>
          </w:p>
          <w:p>
            <w:pPr>
              <w:pStyle w:val="7"/>
              <w:rPr>
                <w:rFonts w:ascii="PMingLiU"/>
                <w:sz w:val="20"/>
              </w:rPr>
            </w:pPr>
          </w:p>
          <w:p>
            <w:pPr>
              <w:pStyle w:val="7"/>
              <w:rPr>
                <w:rFonts w:ascii="PMingLiU"/>
                <w:sz w:val="20"/>
              </w:rPr>
            </w:pPr>
          </w:p>
          <w:p>
            <w:pPr>
              <w:pStyle w:val="7"/>
              <w:rPr>
                <w:rFonts w:ascii="PMingLiU"/>
                <w:sz w:val="20"/>
              </w:rPr>
            </w:pPr>
          </w:p>
          <w:p>
            <w:pPr>
              <w:pStyle w:val="7"/>
              <w:rPr>
                <w:rFonts w:ascii="PMingLiU"/>
                <w:sz w:val="20"/>
              </w:rPr>
            </w:pPr>
          </w:p>
          <w:p>
            <w:pPr>
              <w:pStyle w:val="7"/>
              <w:rPr>
                <w:rFonts w:ascii="PMingLiU"/>
                <w:sz w:val="20"/>
              </w:rPr>
            </w:pPr>
          </w:p>
          <w:p>
            <w:pPr>
              <w:pStyle w:val="7"/>
              <w:spacing w:before="12"/>
              <w:rPr>
                <w:rFonts w:ascii="PMingLiU"/>
                <w:sz w:val="23"/>
              </w:rPr>
            </w:pPr>
          </w:p>
          <w:p>
            <w:pPr>
              <w:pStyle w:val="7"/>
              <w:ind w:left="6"/>
              <w:jc w:val="center"/>
              <w:rPr>
                <w:sz w:val="21"/>
              </w:rPr>
            </w:pPr>
            <w:r>
              <w:rPr>
                <w:w w:val="99"/>
                <w:sz w:val="21"/>
              </w:rPr>
              <w:t>1</w:t>
            </w:r>
          </w:p>
        </w:tc>
        <w:tc>
          <w:tcPr>
            <w:tcW w:w="656" w:type="dxa"/>
            <w:textDirection w:val="tbRl"/>
            <w:vAlign w:val="top"/>
          </w:tcPr>
          <w:p>
            <w:pPr>
              <w:pStyle w:val="7"/>
              <w:spacing w:before="34"/>
              <w:ind w:left="1729"/>
              <w:rPr>
                <w:rFonts w:hint="eastAsia" w:ascii="微软雅黑" w:eastAsia="微软雅黑"/>
                <w:b/>
                <w:sz w:val="21"/>
              </w:rPr>
            </w:pPr>
            <w:r>
              <w:rPr>
                <w:rFonts w:hint="eastAsia" w:ascii="微软雅黑" w:eastAsia="微软雅黑"/>
                <w:b/>
                <w:sz w:val="21"/>
              </w:rPr>
              <w:t>完 善 的 工 作 推 进 机 制</w:t>
            </w:r>
          </w:p>
        </w:tc>
        <w:tc>
          <w:tcPr>
            <w:tcW w:w="711" w:type="dxa"/>
            <w:vAlign w:val="top"/>
          </w:tcPr>
          <w:p>
            <w:pPr>
              <w:pStyle w:val="7"/>
              <w:rPr>
                <w:rFonts w:ascii="PMingLiU"/>
                <w:sz w:val="20"/>
              </w:rPr>
            </w:pPr>
          </w:p>
          <w:p>
            <w:pPr>
              <w:pStyle w:val="7"/>
              <w:rPr>
                <w:rFonts w:ascii="PMingLiU"/>
                <w:sz w:val="20"/>
              </w:rPr>
            </w:pPr>
          </w:p>
          <w:p>
            <w:pPr>
              <w:pStyle w:val="7"/>
              <w:rPr>
                <w:rFonts w:ascii="PMingLiU"/>
                <w:sz w:val="20"/>
              </w:rPr>
            </w:pPr>
          </w:p>
          <w:p>
            <w:pPr>
              <w:pStyle w:val="7"/>
              <w:rPr>
                <w:rFonts w:ascii="PMingLiU"/>
                <w:sz w:val="20"/>
              </w:rPr>
            </w:pPr>
          </w:p>
          <w:p>
            <w:pPr>
              <w:pStyle w:val="7"/>
              <w:rPr>
                <w:rFonts w:ascii="PMingLiU"/>
                <w:sz w:val="20"/>
              </w:rPr>
            </w:pPr>
          </w:p>
          <w:p>
            <w:pPr>
              <w:pStyle w:val="7"/>
              <w:rPr>
                <w:rFonts w:ascii="PMingLiU"/>
                <w:sz w:val="20"/>
              </w:rPr>
            </w:pPr>
          </w:p>
          <w:p>
            <w:pPr>
              <w:pStyle w:val="7"/>
              <w:rPr>
                <w:rFonts w:ascii="PMingLiU"/>
                <w:sz w:val="20"/>
              </w:rPr>
            </w:pPr>
          </w:p>
          <w:p>
            <w:pPr>
              <w:pStyle w:val="7"/>
              <w:rPr>
                <w:rFonts w:ascii="PMingLiU"/>
                <w:sz w:val="20"/>
              </w:rPr>
            </w:pPr>
          </w:p>
          <w:p>
            <w:pPr>
              <w:pStyle w:val="7"/>
              <w:rPr>
                <w:rFonts w:ascii="PMingLiU"/>
                <w:sz w:val="20"/>
              </w:rPr>
            </w:pPr>
          </w:p>
          <w:p>
            <w:pPr>
              <w:pStyle w:val="7"/>
              <w:spacing w:before="178" w:line="278" w:lineRule="auto"/>
              <w:ind w:left="144" w:right="136"/>
              <w:rPr>
                <w:sz w:val="21"/>
              </w:rPr>
            </w:pPr>
            <w:r>
              <w:rPr>
                <w:sz w:val="21"/>
              </w:rPr>
              <w:t>组织机构</w:t>
            </w:r>
          </w:p>
        </w:tc>
        <w:tc>
          <w:tcPr>
            <w:tcW w:w="2145" w:type="dxa"/>
            <w:vAlign w:val="top"/>
          </w:tcPr>
          <w:p>
            <w:pPr>
              <w:pStyle w:val="7"/>
              <w:rPr>
                <w:rFonts w:ascii="PMingLiU"/>
                <w:sz w:val="20"/>
              </w:rPr>
            </w:pPr>
          </w:p>
          <w:p>
            <w:pPr>
              <w:pStyle w:val="7"/>
              <w:rPr>
                <w:rFonts w:ascii="PMingLiU"/>
                <w:sz w:val="20"/>
              </w:rPr>
            </w:pPr>
          </w:p>
          <w:p>
            <w:pPr>
              <w:pStyle w:val="7"/>
              <w:rPr>
                <w:rFonts w:ascii="PMingLiU"/>
                <w:sz w:val="20"/>
              </w:rPr>
            </w:pPr>
          </w:p>
          <w:p>
            <w:pPr>
              <w:pStyle w:val="7"/>
              <w:rPr>
                <w:rFonts w:ascii="PMingLiU"/>
                <w:sz w:val="20"/>
              </w:rPr>
            </w:pPr>
          </w:p>
          <w:p>
            <w:pPr>
              <w:pStyle w:val="7"/>
              <w:spacing w:before="172" w:line="278" w:lineRule="auto"/>
              <w:ind w:left="108" w:right="97"/>
              <w:jc w:val="both"/>
              <w:rPr>
                <w:sz w:val="21"/>
              </w:rPr>
            </w:pPr>
            <w:r>
              <w:rPr>
                <w:sz w:val="21"/>
              </w:rPr>
              <w:t>明确双重预防体系建设组织领导小组和工作机构，组织领导机构组成人员包括企业主要负责人，分管负责人和各职能部门负责人以及各类专业技术人员，主要负责人全面负责企业风险隐患双重预防体系建设。</w:t>
            </w:r>
          </w:p>
        </w:tc>
        <w:tc>
          <w:tcPr>
            <w:tcW w:w="7306" w:type="dxa"/>
            <w:vAlign w:val="top"/>
          </w:tcPr>
          <w:p>
            <w:pPr>
              <w:pStyle w:val="7"/>
              <w:spacing w:before="5"/>
              <w:rPr>
                <w:rFonts w:ascii="PMingLiU"/>
                <w:sz w:val="25"/>
              </w:rPr>
            </w:pPr>
          </w:p>
          <w:p>
            <w:pPr>
              <w:pStyle w:val="7"/>
              <w:spacing w:line="278" w:lineRule="auto"/>
              <w:ind w:left="108" w:right="95" w:firstLine="523"/>
              <w:jc w:val="both"/>
              <w:rPr>
                <w:sz w:val="21"/>
              </w:rPr>
            </w:pPr>
            <w:r>
              <w:rPr>
                <w:spacing w:val="-19"/>
                <w:sz w:val="21"/>
              </w:rPr>
              <w:t xml:space="preserve">《安法》第 </w:t>
            </w:r>
            <w:r>
              <w:rPr>
                <w:sz w:val="21"/>
              </w:rPr>
              <w:t>5</w:t>
            </w:r>
            <w:r>
              <w:rPr>
                <w:spacing w:val="-8"/>
                <w:sz w:val="21"/>
              </w:rPr>
              <w:t xml:space="preserve"> 条 生产经营单位的主要负责人对本单位的安全生产工作全面负责。</w:t>
            </w:r>
          </w:p>
          <w:p>
            <w:pPr>
              <w:pStyle w:val="7"/>
              <w:spacing w:line="278" w:lineRule="auto"/>
              <w:ind w:left="108" w:right="93" w:firstLine="420"/>
              <w:jc w:val="both"/>
              <w:rPr>
                <w:sz w:val="21"/>
              </w:rPr>
            </w:pPr>
            <w:r>
              <w:rPr>
                <w:spacing w:val="-23"/>
                <w:sz w:val="21"/>
              </w:rPr>
              <w:t xml:space="preserve">第 </w:t>
            </w:r>
            <w:r>
              <w:rPr>
                <w:sz w:val="21"/>
              </w:rPr>
              <w:t>18</w:t>
            </w:r>
            <w:r>
              <w:rPr>
                <w:spacing w:val="-6"/>
                <w:sz w:val="21"/>
              </w:rPr>
              <w:t xml:space="preserve"> 条：生产经营单位的主要负责人对本单位安全生产工作负有下列职</w:t>
            </w:r>
            <w:r>
              <w:rPr>
                <w:spacing w:val="-6"/>
                <w:w w:val="95"/>
                <w:sz w:val="21"/>
              </w:rPr>
              <w:t>责：（</w:t>
            </w:r>
            <w:r>
              <w:rPr>
                <w:w w:val="95"/>
                <w:sz w:val="21"/>
              </w:rPr>
              <w:t>一</w:t>
            </w:r>
            <w:r>
              <w:rPr>
                <w:spacing w:val="-5"/>
                <w:w w:val="95"/>
                <w:sz w:val="21"/>
              </w:rPr>
              <w:t>）</w:t>
            </w:r>
            <w:r>
              <w:rPr>
                <w:spacing w:val="-3"/>
                <w:w w:val="95"/>
                <w:sz w:val="21"/>
              </w:rPr>
              <w:t>建立、健全本单位安全生产责任制；</w:t>
            </w:r>
            <w:r>
              <w:rPr>
                <w:spacing w:val="-6"/>
                <w:w w:val="95"/>
                <w:sz w:val="21"/>
              </w:rPr>
              <w:t>（</w:t>
            </w:r>
            <w:r>
              <w:rPr>
                <w:w w:val="95"/>
                <w:sz w:val="21"/>
              </w:rPr>
              <w:t>五</w:t>
            </w:r>
            <w:r>
              <w:rPr>
                <w:spacing w:val="-5"/>
                <w:w w:val="95"/>
                <w:sz w:val="21"/>
              </w:rPr>
              <w:t>）</w:t>
            </w:r>
            <w:r>
              <w:rPr>
                <w:spacing w:val="-2"/>
                <w:w w:val="95"/>
                <w:sz w:val="21"/>
              </w:rPr>
              <w:t xml:space="preserve">督促、检查本单位的安  </w:t>
            </w:r>
            <w:r>
              <w:rPr>
                <w:spacing w:val="-2"/>
                <w:sz w:val="21"/>
              </w:rPr>
              <w:t>全生产工作，及时消除生产安全事故隐患；…</w:t>
            </w:r>
          </w:p>
          <w:p>
            <w:pPr>
              <w:pStyle w:val="7"/>
              <w:spacing w:line="278" w:lineRule="auto"/>
              <w:ind w:left="108" w:right="95" w:firstLine="420"/>
              <w:jc w:val="both"/>
              <w:rPr>
                <w:sz w:val="21"/>
              </w:rPr>
            </w:pPr>
            <w:r>
              <w:rPr>
                <w:spacing w:val="-9"/>
                <w:sz w:val="21"/>
              </w:rPr>
              <w:t xml:space="preserve">《条例》第 </w:t>
            </w:r>
            <w:r>
              <w:rPr>
                <w:sz w:val="21"/>
              </w:rPr>
              <w:t>13</w:t>
            </w:r>
            <w:r>
              <w:rPr>
                <w:spacing w:val="-6"/>
                <w:sz w:val="21"/>
              </w:rPr>
              <w:t xml:space="preserve"> 条：生产经营单位的主要负责人是本单位安全生产工作的第一责任人，应当履行下列职责：</w:t>
            </w:r>
          </w:p>
          <w:p>
            <w:pPr>
              <w:pStyle w:val="7"/>
              <w:spacing w:line="278" w:lineRule="auto"/>
              <w:ind w:left="108" w:right="47" w:firstLine="420"/>
              <w:jc w:val="both"/>
              <w:rPr>
                <w:sz w:val="21"/>
              </w:rPr>
            </w:pPr>
            <w:r>
              <w:rPr>
                <w:sz w:val="21"/>
              </w:rPr>
              <w:t>（一</w:t>
            </w:r>
            <w:r>
              <w:rPr>
                <w:spacing w:val="-10"/>
                <w:sz w:val="21"/>
              </w:rPr>
              <w:t>）</w:t>
            </w:r>
            <w:r>
              <w:rPr>
                <w:spacing w:val="-4"/>
                <w:sz w:val="21"/>
              </w:rPr>
              <w:t>建立、健全并组织落实本单位安全生产责任制；</w:t>
            </w:r>
            <w:r>
              <w:rPr>
                <w:spacing w:val="-11"/>
                <w:sz w:val="21"/>
              </w:rPr>
              <w:t>（</w:t>
            </w:r>
            <w:r>
              <w:rPr>
                <w:sz w:val="21"/>
              </w:rPr>
              <w:t>六</w:t>
            </w:r>
            <w:r>
              <w:rPr>
                <w:spacing w:val="-10"/>
                <w:sz w:val="21"/>
              </w:rPr>
              <w:t>）</w:t>
            </w:r>
            <w:r>
              <w:rPr>
                <w:sz w:val="21"/>
              </w:rPr>
              <w:t>督促检查本</w:t>
            </w:r>
            <w:r>
              <w:rPr>
                <w:w w:val="95"/>
                <w:sz w:val="21"/>
              </w:rPr>
              <w:t xml:space="preserve">单位安全生产工作，组织开展安全生产风险管控和事故隐患排查治理；（九）  </w:t>
            </w:r>
            <w:r>
              <w:rPr>
                <w:spacing w:val="3"/>
                <w:sz w:val="21"/>
              </w:rPr>
              <w:t>负责将重大隐患治理情况向负有安全生产监督管理职责的部门和企业职工代表大会报告。</w:t>
            </w:r>
          </w:p>
          <w:p>
            <w:pPr>
              <w:pStyle w:val="7"/>
              <w:spacing w:line="278" w:lineRule="auto"/>
              <w:ind w:left="108" w:right="95" w:firstLine="420"/>
              <w:jc w:val="both"/>
              <w:rPr>
                <w:sz w:val="21"/>
              </w:rPr>
            </w:pPr>
            <w:r>
              <w:rPr>
                <w:spacing w:val="-23"/>
                <w:sz w:val="21"/>
              </w:rPr>
              <w:t xml:space="preserve">第 </w:t>
            </w:r>
            <w:r>
              <w:rPr>
                <w:sz w:val="21"/>
              </w:rPr>
              <w:t>24</w:t>
            </w:r>
            <w:r>
              <w:rPr>
                <w:spacing w:val="-6"/>
                <w:sz w:val="21"/>
              </w:rPr>
              <w:t xml:space="preserve"> 条：生产经营单位应当建立健全安全生产事故隐患排查治理制度， </w:t>
            </w:r>
            <w:r>
              <w:rPr>
                <w:spacing w:val="-8"/>
                <w:w w:val="95"/>
                <w:sz w:val="21"/>
              </w:rPr>
              <w:t xml:space="preserve">明确本单位负责人和各岗位从业人员的排查治理责任，编制本单位事故隐患排  </w:t>
            </w:r>
            <w:r>
              <w:rPr>
                <w:spacing w:val="-8"/>
                <w:sz w:val="21"/>
              </w:rPr>
              <w:t>查治理标准清单，及时发现并消除事故隐患。</w:t>
            </w:r>
          </w:p>
          <w:p>
            <w:pPr>
              <w:pStyle w:val="7"/>
              <w:spacing w:line="278" w:lineRule="auto"/>
              <w:ind w:left="108" w:right="47" w:firstLine="420"/>
              <w:jc w:val="both"/>
              <w:rPr>
                <w:sz w:val="21"/>
              </w:rPr>
            </w:pPr>
            <w:r>
              <w:rPr>
                <w:spacing w:val="-11"/>
                <w:sz w:val="21"/>
              </w:rPr>
              <w:t xml:space="preserve">《办法》第 </w:t>
            </w:r>
            <w:r>
              <w:rPr>
                <w:sz w:val="21"/>
              </w:rPr>
              <w:t>4</w:t>
            </w:r>
            <w:r>
              <w:rPr>
                <w:spacing w:val="-8"/>
                <w:sz w:val="21"/>
              </w:rPr>
              <w:t xml:space="preserve"> 条：生产经营单位是风险管控与事故隐患治理的责任主体， </w:t>
            </w:r>
            <w:r>
              <w:rPr>
                <w:spacing w:val="-11"/>
                <w:sz w:val="21"/>
              </w:rPr>
              <w:t>应当深入推进安全生产标准化建设，建立健全风险自辨自控、隐患自查自治工作机制，明确本单位负责人和各级、各岗位人员的责任。</w:t>
            </w:r>
          </w:p>
        </w:tc>
        <w:tc>
          <w:tcPr>
            <w:tcW w:w="2969" w:type="dxa"/>
            <w:vAlign w:val="top"/>
          </w:tcPr>
          <w:p>
            <w:pPr>
              <w:pStyle w:val="7"/>
              <w:rPr>
                <w:rFonts w:ascii="PMingLiU"/>
                <w:sz w:val="20"/>
              </w:rPr>
            </w:pPr>
          </w:p>
          <w:p>
            <w:pPr>
              <w:pStyle w:val="7"/>
              <w:rPr>
                <w:rFonts w:ascii="PMingLiU"/>
                <w:sz w:val="20"/>
              </w:rPr>
            </w:pPr>
          </w:p>
          <w:p>
            <w:pPr>
              <w:pStyle w:val="7"/>
              <w:rPr>
                <w:rFonts w:ascii="PMingLiU"/>
                <w:sz w:val="20"/>
              </w:rPr>
            </w:pPr>
          </w:p>
          <w:p>
            <w:pPr>
              <w:pStyle w:val="7"/>
              <w:rPr>
                <w:rFonts w:ascii="PMingLiU"/>
                <w:sz w:val="20"/>
              </w:rPr>
            </w:pPr>
          </w:p>
          <w:p>
            <w:pPr>
              <w:pStyle w:val="7"/>
              <w:rPr>
                <w:rFonts w:ascii="PMingLiU"/>
                <w:sz w:val="20"/>
              </w:rPr>
            </w:pPr>
          </w:p>
          <w:p>
            <w:pPr>
              <w:pStyle w:val="7"/>
              <w:spacing w:before="11"/>
              <w:rPr>
                <w:rFonts w:ascii="PMingLiU"/>
                <w:sz w:val="25"/>
              </w:rPr>
            </w:pPr>
          </w:p>
          <w:p>
            <w:pPr>
              <w:pStyle w:val="7"/>
              <w:spacing w:line="278" w:lineRule="auto"/>
              <w:ind w:left="108" w:right="95"/>
              <w:jc w:val="both"/>
              <w:rPr>
                <w:sz w:val="21"/>
              </w:rPr>
            </w:pPr>
            <w:r>
              <w:rPr>
                <w:spacing w:val="-17"/>
                <w:sz w:val="21"/>
              </w:rPr>
              <w:t xml:space="preserve">《安法》第 </w:t>
            </w:r>
            <w:r>
              <w:rPr>
                <w:sz w:val="21"/>
              </w:rPr>
              <w:t>91</w:t>
            </w:r>
            <w:r>
              <w:rPr>
                <w:spacing w:val="-14"/>
                <w:sz w:val="21"/>
              </w:rPr>
              <w:t xml:space="preserve"> 条：责令限期改</w:t>
            </w:r>
            <w:r>
              <w:rPr>
                <w:spacing w:val="-3"/>
                <w:sz w:val="21"/>
              </w:rPr>
              <w:t>正；逾期未改正的，处二万元</w:t>
            </w:r>
            <w:r>
              <w:rPr>
                <w:spacing w:val="-1"/>
                <w:sz w:val="21"/>
              </w:rPr>
              <w:t>以上五万元以下的罚款，责令</w:t>
            </w:r>
            <w:r>
              <w:rPr>
                <w:w w:val="95"/>
                <w:sz w:val="21"/>
              </w:rPr>
              <w:t>生产经营单位停产停业整顿。</w:t>
            </w:r>
          </w:p>
          <w:p>
            <w:pPr>
              <w:pStyle w:val="7"/>
              <w:spacing w:line="278" w:lineRule="auto"/>
              <w:ind w:left="108" w:right="95"/>
              <w:jc w:val="both"/>
              <w:rPr>
                <w:sz w:val="21"/>
              </w:rPr>
            </w:pPr>
            <w:r>
              <w:rPr>
                <w:spacing w:val="-17"/>
                <w:sz w:val="21"/>
              </w:rPr>
              <w:t xml:space="preserve">《条例》第 </w:t>
            </w:r>
            <w:r>
              <w:rPr>
                <w:sz w:val="21"/>
              </w:rPr>
              <w:t>56</w:t>
            </w:r>
            <w:r>
              <w:rPr>
                <w:spacing w:val="-14"/>
                <w:sz w:val="21"/>
              </w:rPr>
              <w:t xml:space="preserve"> 条：责令限期改</w:t>
            </w:r>
            <w:r>
              <w:rPr>
                <w:spacing w:val="-3"/>
                <w:sz w:val="21"/>
              </w:rPr>
              <w:t>正；逾期未改正的，处二万元</w:t>
            </w:r>
            <w:r>
              <w:rPr>
                <w:spacing w:val="-1"/>
                <w:sz w:val="21"/>
              </w:rPr>
              <w:t>以上五万元以下的罚款，责令</w:t>
            </w:r>
            <w:r>
              <w:rPr>
                <w:w w:val="95"/>
                <w:sz w:val="21"/>
              </w:rPr>
              <w:t>生产经营单位停产停业整顿。</w:t>
            </w:r>
          </w:p>
        </w:tc>
        <w:tc>
          <w:tcPr>
            <w:tcW w:w="774" w:type="dxa"/>
            <w:vAlign w:val="top"/>
          </w:tcPr>
          <w:p>
            <w:pPr>
              <w:pStyle w:val="7"/>
              <w:rPr>
                <w:rFonts w:ascii="Times New Roman"/>
                <w:sz w:val="20"/>
              </w:rPr>
            </w:pPr>
          </w:p>
        </w:tc>
      </w:tr>
    </w:tbl>
    <w:p>
      <w:pPr>
        <w:spacing w:after="0"/>
        <w:rPr>
          <w:rFonts w:ascii="Times New Roman"/>
          <w:sz w:val="20"/>
        </w:rPr>
        <w:sectPr>
          <w:pgSz w:w="16840" w:h="11910" w:orient="landscape"/>
          <w:pgMar w:top="1100" w:right="700" w:bottom="1100" w:left="700" w:header="0" w:footer="907"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W w:w="15218"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7"/>
        <w:gridCol w:w="656"/>
        <w:gridCol w:w="711"/>
        <w:gridCol w:w="2145"/>
        <w:gridCol w:w="7306"/>
        <w:gridCol w:w="2969"/>
        <w:gridCol w:w="774"/>
      </w:tblGrid>
      <w:tr>
        <w:trPr>
          <w:trHeight w:val="523" w:hRule="atLeast"/>
        </w:trPr>
        <w:tc>
          <w:tcPr>
            <w:tcW w:w="657" w:type="dxa"/>
            <w:vAlign w:val="top"/>
          </w:tcPr>
          <w:p>
            <w:pPr>
              <w:pStyle w:val="7"/>
              <w:spacing w:before="127"/>
              <w:ind w:left="97" w:right="90"/>
              <w:jc w:val="center"/>
              <w:rPr>
                <w:rFonts w:hint="eastAsia" w:ascii="黑体" w:eastAsia="黑体"/>
                <w:sz w:val="21"/>
              </w:rPr>
            </w:pPr>
            <w:r>
              <w:rPr>
                <w:rFonts w:hint="eastAsia" w:ascii="黑体" w:eastAsia="黑体"/>
                <w:sz w:val="21"/>
              </w:rPr>
              <w:t>序号</w:t>
            </w:r>
          </w:p>
        </w:tc>
        <w:tc>
          <w:tcPr>
            <w:tcW w:w="656" w:type="dxa"/>
            <w:vAlign w:val="top"/>
          </w:tcPr>
          <w:p>
            <w:pPr>
              <w:pStyle w:val="7"/>
              <w:spacing w:before="127"/>
              <w:ind w:left="116"/>
              <w:rPr>
                <w:rFonts w:hint="eastAsia" w:ascii="黑体" w:eastAsia="黑体"/>
                <w:sz w:val="21"/>
              </w:rPr>
            </w:pPr>
            <w:r>
              <w:rPr>
                <w:rFonts w:hint="eastAsia" w:ascii="黑体" w:eastAsia="黑体"/>
                <w:sz w:val="21"/>
              </w:rPr>
              <w:t>类别</w:t>
            </w:r>
          </w:p>
        </w:tc>
        <w:tc>
          <w:tcPr>
            <w:tcW w:w="711" w:type="dxa"/>
            <w:vAlign w:val="top"/>
          </w:tcPr>
          <w:p>
            <w:pPr>
              <w:pStyle w:val="7"/>
              <w:spacing w:before="127"/>
              <w:ind w:left="144"/>
              <w:rPr>
                <w:rFonts w:hint="eastAsia" w:ascii="黑体" w:eastAsia="黑体"/>
                <w:sz w:val="21"/>
              </w:rPr>
            </w:pPr>
            <w:r>
              <w:rPr>
                <w:rFonts w:hint="eastAsia" w:ascii="黑体" w:eastAsia="黑体"/>
                <w:sz w:val="21"/>
              </w:rPr>
              <w:t>项目</w:t>
            </w:r>
          </w:p>
        </w:tc>
        <w:tc>
          <w:tcPr>
            <w:tcW w:w="2145" w:type="dxa"/>
            <w:vAlign w:val="top"/>
          </w:tcPr>
          <w:p>
            <w:pPr>
              <w:pStyle w:val="7"/>
              <w:spacing w:before="127"/>
              <w:ind w:left="650"/>
              <w:rPr>
                <w:rFonts w:hint="eastAsia" w:ascii="黑体" w:eastAsia="黑体"/>
                <w:sz w:val="21"/>
              </w:rPr>
            </w:pPr>
            <w:r>
              <w:rPr>
                <w:rFonts w:hint="eastAsia" w:ascii="黑体" w:eastAsia="黑体"/>
                <w:sz w:val="21"/>
              </w:rPr>
              <w:t>检查内容</w:t>
            </w:r>
          </w:p>
        </w:tc>
        <w:tc>
          <w:tcPr>
            <w:tcW w:w="7306" w:type="dxa"/>
            <w:vAlign w:val="top"/>
          </w:tcPr>
          <w:p>
            <w:pPr>
              <w:pStyle w:val="7"/>
              <w:spacing w:before="127"/>
              <w:ind w:left="3212" w:right="3204"/>
              <w:jc w:val="center"/>
              <w:rPr>
                <w:rFonts w:hint="eastAsia" w:ascii="黑体" w:eastAsia="黑体"/>
                <w:sz w:val="21"/>
              </w:rPr>
            </w:pPr>
            <w:r>
              <w:rPr>
                <w:rFonts w:hint="eastAsia" w:ascii="黑体" w:eastAsia="黑体"/>
                <w:sz w:val="21"/>
              </w:rPr>
              <w:t>检查依据</w:t>
            </w:r>
          </w:p>
        </w:tc>
        <w:tc>
          <w:tcPr>
            <w:tcW w:w="2969" w:type="dxa"/>
            <w:vAlign w:val="top"/>
          </w:tcPr>
          <w:p>
            <w:pPr>
              <w:pStyle w:val="7"/>
              <w:spacing w:before="127"/>
              <w:ind w:left="537"/>
              <w:rPr>
                <w:rFonts w:hint="eastAsia" w:ascii="黑体" w:eastAsia="黑体"/>
                <w:sz w:val="21"/>
              </w:rPr>
            </w:pPr>
            <w:r>
              <w:rPr>
                <w:rFonts w:hint="eastAsia" w:ascii="黑体" w:eastAsia="黑体"/>
                <w:sz w:val="21"/>
              </w:rPr>
              <w:t>处罚依据和整改建议</w:t>
            </w:r>
          </w:p>
        </w:tc>
        <w:tc>
          <w:tcPr>
            <w:tcW w:w="774" w:type="dxa"/>
            <w:vAlign w:val="top"/>
          </w:tcPr>
          <w:p>
            <w:pPr>
              <w:pStyle w:val="7"/>
              <w:spacing w:before="127"/>
              <w:ind w:left="177"/>
              <w:rPr>
                <w:rFonts w:hint="eastAsia" w:ascii="黑体" w:eastAsia="黑体"/>
                <w:sz w:val="21"/>
              </w:rPr>
            </w:pPr>
            <w:r>
              <w:rPr>
                <w:rFonts w:hint="eastAsia" w:ascii="黑体" w:eastAsia="黑体"/>
                <w:sz w:val="21"/>
              </w:rPr>
              <w:t>备注</w:t>
            </w:r>
          </w:p>
        </w:tc>
      </w:tr>
      <w:tr>
        <w:trPr>
          <w:trHeight w:val="7298" w:hRule="atLeast"/>
        </w:trPr>
        <w:tc>
          <w:tcPr>
            <w:tcW w:w="657"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8"/>
              <w:rPr>
                <w:rFonts w:ascii="Times New Roman"/>
                <w:sz w:val="25"/>
              </w:rPr>
            </w:pPr>
          </w:p>
          <w:p>
            <w:pPr>
              <w:pStyle w:val="7"/>
              <w:ind w:left="6"/>
              <w:jc w:val="center"/>
              <w:rPr>
                <w:sz w:val="21"/>
              </w:rPr>
            </w:pPr>
            <w:r>
              <w:rPr>
                <w:w w:val="99"/>
                <w:sz w:val="21"/>
              </w:rPr>
              <w:t>2</w:t>
            </w:r>
          </w:p>
        </w:tc>
        <w:tc>
          <w:tcPr>
            <w:tcW w:w="656" w:type="dxa"/>
            <w:textDirection w:val="tbRl"/>
            <w:vAlign w:val="top"/>
          </w:tcPr>
          <w:p>
            <w:pPr>
              <w:pStyle w:val="7"/>
              <w:spacing w:before="34"/>
              <w:ind w:left="1615" w:right="1612"/>
              <w:jc w:val="center"/>
              <w:rPr>
                <w:rFonts w:hint="eastAsia" w:ascii="微软雅黑" w:eastAsia="微软雅黑"/>
                <w:b/>
                <w:sz w:val="21"/>
              </w:rPr>
            </w:pPr>
            <w:r>
              <w:rPr>
                <w:rFonts w:hint="eastAsia" w:ascii="微软雅黑" w:eastAsia="微软雅黑"/>
                <w:b/>
                <w:sz w:val="21"/>
              </w:rPr>
              <w:t>完 善 的 工 作 推 进 机 制</w:t>
            </w:r>
          </w:p>
        </w:tc>
        <w:tc>
          <w:tcPr>
            <w:tcW w:w="711"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39" w:line="278" w:lineRule="auto"/>
              <w:ind w:left="144" w:right="136"/>
              <w:rPr>
                <w:sz w:val="21"/>
              </w:rPr>
            </w:pPr>
            <w:r>
              <w:rPr>
                <w:sz w:val="21"/>
              </w:rPr>
              <w:t>职责分工</w:t>
            </w:r>
          </w:p>
        </w:tc>
        <w:tc>
          <w:tcPr>
            <w:tcW w:w="2145"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3"/>
              <w:rPr>
                <w:rFonts w:ascii="Times New Roman"/>
                <w:sz w:val="24"/>
              </w:rPr>
            </w:pPr>
          </w:p>
          <w:p>
            <w:pPr>
              <w:pStyle w:val="7"/>
              <w:spacing w:line="278" w:lineRule="auto"/>
              <w:ind w:left="108" w:right="97"/>
              <w:jc w:val="both"/>
              <w:rPr>
                <w:sz w:val="21"/>
              </w:rPr>
            </w:pPr>
            <w:r>
              <w:rPr>
                <w:sz w:val="21"/>
              </w:rPr>
              <w:t>明确企业主要负责人、分管负责人和各职能部门负责人以及各类专业技术人员双重预防体系建设职责。各责任人员应熟悉自身职责。</w:t>
            </w:r>
          </w:p>
        </w:tc>
        <w:tc>
          <w:tcPr>
            <w:tcW w:w="7306"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7"/>
              <w:rPr>
                <w:rFonts w:ascii="Times New Roman"/>
                <w:sz w:val="28"/>
              </w:rPr>
            </w:pPr>
          </w:p>
          <w:p>
            <w:pPr>
              <w:pStyle w:val="7"/>
              <w:spacing w:line="278" w:lineRule="auto"/>
              <w:ind w:left="108" w:right="95" w:firstLine="314"/>
              <w:jc w:val="both"/>
              <w:rPr>
                <w:sz w:val="21"/>
              </w:rPr>
            </w:pPr>
            <w:r>
              <w:rPr>
                <w:spacing w:val="-15"/>
                <w:sz w:val="21"/>
              </w:rPr>
              <w:t xml:space="preserve">《安法》第 </w:t>
            </w:r>
            <w:r>
              <w:rPr>
                <w:sz w:val="21"/>
              </w:rPr>
              <w:t>19</w:t>
            </w:r>
            <w:r>
              <w:rPr>
                <w:spacing w:val="-10"/>
                <w:sz w:val="21"/>
              </w:rPr>
              <w:t xml:space="preserve"> 条：生产经营单位的安全生产责任制应当明确各岗位的责任人员、责任范围和考核标准等内容。</w:t>
            </w:r>
          </w:p>
          <w:p>
            <w:pPr>
              <w:pStyle w:val="7"/>
              <w:spacing w:line="278" w:lineRule="auto"/>
              <w:ind w:left="108" w:right="-15" w:firstLine="420"/>
              <w:jc w:val="both"/>
              <w:rPr>
                <w:sz w:val="21"/>
              </w:rPr>
            </w:pPr>
            <w:r>
              <w:rPr>
                <w:spacing w:val="-29"/>
                <w:sz w:val="21"/>
              </w:rPr>
              <w:t xml:space="preserve">第 </w:t>
            </w:r>
            <w:r>
              <w:rPr>
                <w:sz w:val="21"/>
              </w:rPr>
              <w:t>21</w:t>
            </w:r>
            <w:r>
              <w:rPr>
                <w:spacing w:val="-8"/>
                <w:sz w:val="21"/>
              </w:rPr>
              <w:t xml:space="preserve"> 条 矿山、金属冶炼、建筑施工、道路运输单位和危险物品的生产、</w:t>
            </w:r>
            <w:r>
              <w:rPr>
                <w:spacing w:val="-14"/>
                <w:w w:val="95"/>
                <w:sz w:val="21"/>
              </w:rPr>
              <w:t>经营、储存单位，应当设置安全生产管理机构或者配备专职安全生产管理人员。</w:t>
            </w:r>
          </w:p>
          <w:p>
            <w:pPr>
              <w:pStyle w:val="7"/>
              <w:spacing w:line="278" w:lineRule="auto"/>
              <w:ind w:left="108" w:right="47" w:firstLine="420"/>
              <w:jc w:val="both"/>
              <w:rPr>
                <w:sz w:val="21"/>
              </w:rPr>
            </w:pPr>
            <w:r>
              <w:rPr>
                <w:spacing w:val="-3"/>
                <w:sz w:val="21"/>
              </w:rPr>
              <w:t>前款规定以外的其他生产经营单位，从业人员超过一百人的，应当设置安</w:t>
            </w:r>
            <w:r>
              <w:rPr>
                <w:spacing w:val="-3"/>
                <w:w w:val="95"/>
                <w:sz w:val="21"/>
              </w:rPr>
              <w:t xml:space="preserve">全生产管理机构或者配备专职安全生产管理人员；从业人员在一百人以下的，  </w:t>
            </w:r>
            <w:r>
              <w:rPr>
                <w:spacing w:val="-3"/>
                <w:sz w:val="21"/>
              </w:rPr>
              <w:t>应当配备专职或者兼职的安全生产管理人员。</w:t>
            </w:r>
          </w:p>
          <w:p>
            <w:pPr>
              <w:pStyle w:val="7"/>
              <w:spacing w:line="278" w:lineRule="auto"/>
              <w:ind w:left="108" w:right="-15" w:firstLine="314"/>
              <w:rPr>
                <w:sz w:val="21"/>
              </w:rPr>
            </w:pPr>
            <w:r>
              <w:rPr>
                <w:spacing w:val="-19"/>
                <w:sz w:val="21"/>
              </w:rPr>
              <w:t xml:space="preserve">《条例》第 </w:t>
            </w:r>
            <w:r>
              <w:rPr>
                <w:sz w:val="21"/>
              </w:rPr>
              <w:t>11</w:t>
            </w:r>
            <w:r>
              <w:rPr>
                <w:spacing w:val="-14"/>
                <w:sz w:val="21"/>
              </w:rPr>
              <w:t xml:space="preserve"> 条：生产经营单位应当建立健全安全生产责任制，明确各级、</w:t>
            </w:r>
            <w:r>
              <w:rPr>
                <w:spacing w:val="-13"/>
                <w:sz w:val="21"/>
              </w:rPr>
              <w:t>各岗位的责任人员、责任范围和考核标准，形成包括全体人员和全部生产经营</w:t>
            </w:r>
            <w:r>
              <w:rPr>
                <w:spacing w:val="-14"/>
                <w:sz w:val="21"/>
              </w:rPr>
              <w:t>活动的安全生产责任体系，加强对安全生产责任制落实情况的监督考核，保证安全生产责任制的落实。</w:t>
            </w:r>
          </w:p>
          <w:p>
            <w:pPr>
              <w:pStyle w:val="7"/>
              <w:spacing w:line="278" w:lineRule="auto"/>
              <w:ind w:left="108" w:right="97" w:firstLine="420"/>
              <w:jc w:val="both"/>
              <w:rPr>
                <w:sz w:val="21"/>
              </w:rPr>
            </w:pPr>
            <w:r>
              <w:rPr>
                <w:spacing w:val="-29"/>
                <w:sz w:val="21"/>
              </w:rPr>
              <w:t xml:space="preserve">第 </w:t>
            </w:r>
            <w:r>
              <w:rPr>
                <w:sz w:val="21"/>
              </w:rPr>
              <w:t>12</w:t>
            </w:r>
            <w:r>
              <w:rPr>
                <w:spacing w:val="-11"/>
                <w:sz w:val="21"/>
              </w:rPr>
              <w:t xml:space="preserve"> 条 生产经营单位应当根据本单位实际和国家有关规定，制定安全生产规章制度和操作规程。</w:t>
            </w:r>
          </w:p>
          <w:p>
            <w:pPr>
              <w:pStyle w:val="7"/>
              <w:spacing w:line="278" w:lineRule="auto"/>
              <w:ind w:left="108" w:right="95" w:firstLine="420"/>
              <w:jc w:val="both"/>
              <w:rPr>
                <w:sz w:val="21"/>
              </w:rPr>
            </w:pPr>
            <w:r>
              <w:rPr>
                <w:spacing w:val="-23"/>
                <w:sz w:val="21"/>
              </w:rPr>
              <w:t xml:space="preserve">第 </w:t>
            </w:r>
            <w:r>
              <w:rPr>
                <w:sz w:val="21"/>
              </w:rPr>
              <w:t>15</w:t>
            </w:r>
            <w:r>
              <w:rPr>
                <w:spacing w:val="-6"/>
                <w:sz w:val="21"/>
              </w:rPr>
              <w:t xml:space="preserve"> 条：生产经营单位的安全生产管理机构及其安全生产管理人员应当</w:t>
            </w:r>
            <w:r>
              <w:rPr>
                <w:spacing w:val="-7"/>
                <w:w w:val="95"/>
                <w:sz w:val="21"/>
              </w:rPr>
              <w:t>履行下列职责：</w:t>
            </w:r>
            <w:r>
              <w:rPr>
                <w:spacing w:val="-11"/>
                <w:w w:val="95"/>
                <w:sz w:val="21"/>
              </w:rPr>
              <w:t>（</w:t>
            </w:r>
            <w:r>
              <w:rPr>
                <w:w w:val="95"/>
                <w:sz w:val="21"/>
              </w:rPr>
              <w:t>四</w:t>
            </w:r>
            <w:r>
              <w:rPr>
                <w:spacing w:val="-10"/>
                <w:w w:val="95"/>
                <w:sz w:val="21"/>
              </w:rPr>
              <w:t>）</w:t>
            </w:r>
            <w:r>
              <w:rPr>
                <w:spacing w:val="-2"/>
                <w:w w:val="95"/>
                <w:sz w:val="21"/>
              </w:rPr>
              <w:t xml:space="preserve">检查本单位安全生产状况，开展安全生产风险管控，及  </w:t>
            </w:r>
            <w:r>
              <w:rPr>
                <w:spacing w:val="-5"/>
                <w:w w:val="95"/>
                <w:sz w:val="21"/>
              </w:rPr>
              <w:t xml:space="preserve">时排查生产安全事故隐患，提出改进安全生产管理的建议，督促落实本单位安  </w:t>
            </w:r>
            <w:r>
              <w:rPr>
                <w:spacing w:val="-5"/>
                <w:sz w:val="21"/>
              </w:rPr>
              <w:t>全生产整改措施和重大危险源的安全管理措施；…</w:t>
            </w:r>
          </w:p>
        </w:tc>
        <w:tc>
          <w:tcPr>
            <w:tcW w:w="2969"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73" w:line="278" w:lineRule="auto"/>
              <w:ind w:left="108" w:right="95" w:firstLine="208"/>
              <w:jc w:val="both"/>
              <w:rPr>
                <w:sz w:val="21"/>
              </w:rPr>
            </w:pPr>
            <w:r>
              <w:rPr>
                <w:spacing w:val="-9"/>
                <w:sz w:val="21"/>
              </w:rPr>
              <w:t xml:space="preserve">《安法》第 </w:t>
            </w:r>
            <w:r>
              <w:rPr>
                <w:sz w:val="21"/>
              </w:rPr>
              <w:t>93</w:t>
            </w:r>
            <w:r>
              <w:rPr>
                <w:spacing w:val="-9"/>
                <w:sz w:val="21"/>
              </w:rPr>
              <w:t xml:space="preserve"> 条 生产经营</w:t>
            </w:r>
            <w:r>
              <w:rPr>
                <w:spacing w:val="-1"/>
                <w:sz w:val="21"/>
              </w:rPr>
              <w:t>单位的安全生产管理人员未履行本法规定的安全生产管理职责的，责令限期改正；导致发生生产安全事故的，暂停或者</w:t>
            </w:r>
            <w:r>
              <w:rPr>
                <w:spacing w:val="18"/>
                <w:sz w:val="21"/>
              </w:rPr>
              <w:t>撤销其与安全生产有关的资</w:t>
            </w:r>
            <w:r>
              <w:rPr>
                <w:spacing w:val="-1"/>
                <w:sz w:val="21"/>
              </w:rPr>
              <w:t>格；构成犯罪的，依照刑法有</w:t>
            </w:r>
            <w:r>
              <w:rPr>
                <w:sz w:val="21"/>
              </w:rPr>
              <w:t>关规定追究刑事责任。</w:t>
            </w:r>
          </w:p>
          <w:p>
            <w:pPr>
              <w:pStyle w:val="7"/>
              <w:spacing w:line="278" w:lineRule="auto"/>
              <w:ind w:left="108" w:right="95" w:firstLine="208"/>
              <w:jc w:val="both"/>
              <w:rPr>
                <w:sz w:val="21"/>
              </w:rPr>
            </w:pPr>
            <w:r>
              <w:rPr>
                <w:spacing w:val="-29"/>
                <w:sz w:val="21"/>
              </w:rPr>
              <w:t xml:space="preserve">第 </w:t>
            </w:r>
            <w:r>
              <w:rPr>
                <w:sz w:val="21"/>
              </w:rPr>
              <w:t>94</w:t>
            </w:r>
            <w:r>
              <w:rPr>
                <w:spacing w:val="-15"/>
                <w:sz w:val="21"/>
              </w:rPr>
              <w:t xml:space="preserve"> 条第一项：未按照规定</w:t>
            </w:r>
            <w:r>
              <w:rPr>
                <w:spacing w:val="-3"/>
                <w:sz w:val="21"/>
              </w:rPr>
              <w:t>设置安全生产管理机构或者配</w:t>
            </w:r>
            <w:r>
              <w:rPr>
                <w:spacing w:val="-1"/>
                <w:sz w:val="21"/>
              </w:rPr>
              <w:t>备安全生产管理人员的。责令限期改正，可以处五万元以下的罚款；逾期未改正的，责令停产停业整顿，并处五万元以上十万元以下的罚款，对其直接负责的主管人员和其他直接责任人员处一万元以上二万元</w:t>
            </w:r>
            <w:r>
              <w:rPr>
                <w:sz w:val="21"/>
              </w:rPr>
              <w:t>以下的罚款。</w:t>
            </w:r>
          </w:p>
        </w:tc>
        <w:tc>
          <w:tcPr>
            <w:tcW w:w="774" w:type="dxa"/>
            <w:vAlign w:val="top"/>
          </w:tcPr>
          <w:p>
            <w:pPr>
              <w:pStyle w:val="7"/>
              <w:rPr>
                <w:rFonts w:ascii="Times New Roman"/>
                <w:sz w:val="20"/>
              </w:rPr>
            </w:pPr>
          </w:p>
        </w:tc>
      </w:tr>
    </w:tbl>
    <w:p>
      <w:pPr>
        <w:spacing w:after="0"/>
        <w:rPr>
          <w:rFonts w:ascii="Times New Roman"/>
          <w:sz w:val="20"/>
        </w:rPr>
        <w:sectPr>
          <w:pgSz w:w="16840" w:h="11910" w:orient="landscape"/>
          <w:pgMar w:top="1100" w:right="700" w:bottom="1100" w:left="700" w:header="0" w:footer="907"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W w:w="15218"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7"/>
        <w:gridCol w:w="656"/>
        <w:gridCol w:w="711"/>
        <w:gridCol w:w="2145"/>
        <w:gridCol w:w="7306"/>
        <w:gridCol w:w="2969"/>
        <w:gridCol w:w="774"/>
      </w:tblGrid>
      <w:tr>
        <w:trPr>
          <w:trHeight w:val="523" w:hRule="atLeast"/>
        </w:trPr>
        <w:tc>
          <w:tcPr>
            <w:tcW w:w="657" w:type="dxa"/>
            <w:vAlign w:val="top"/>
          </w:tcPr>
          <w:p>
            <w:pPr>
              <w:pStyle w:val="7"/>
              <w:spacing w:before="127"/>
              <w:ind w:left="97" w:right="90"/>
              <w:jc w:val="center"/>
              <w:rPr>
                <w:rFonts w:hint="eastAsia" w:ascii="黑体" w:eastAsia="黑体"/>
                <w:sz w:val="21"/>
              </w:rPr>
            </w:pPr>
            <w:r>
              <w:rPr>
                <w:rFonts w:hint="eastAsia" w:ascii="黑体" w:eastAsia="黑体"/>
                <w:sz w:val="21"/>
              </w:rPr>
              <w:t>序号</w:t>
            </w:r>
          </w:p>
        </w:tc>
        <w:tc>
          <w:tcPr>
            <w:tcW w:w="656" w:type="dxa"/>
            <w:vAlign w:val="top"/>
          </w:tcPr>
          <w:p>
            <w:pPr>
              <w:pStyle w:val="7"/>
              <w:spacing w:before="127"/>
              <w:ind w:left="116"/>
              <w:rPr>
                <w:rFonts w:hint="eastAsia" w:ascii="黑体" w:eastAsia="黑体"/>
                <w:sz w:val="21"/>
              </w:rPr>
            </w:pPr>
            <w:r>
              <w:rPr>
                <w:rFonts w:hint="eastAsia" w:ascii="黑体" w:eastAsia="黑体"/>
                <w:sz w:val="21"/>
              </w:rPr>
              <w:t>类别</w:t>
            </w:r>
          </w:p>
        </w:tc>
        <w:tc>
          <w:tcPr>
            <w:tcW w:w="711" w:type="dxa"/>
            <w:vAlign w:val="top"/>
          </w:tcPr>
          <w:p>
            <w:pPr>
              <w:pStyle w:val="7"/>
              <w:spacing w:before="127"/>
              <w:ind w:left="144"/>
              <w:rPr>
                <w:rFonts w:hint="eastAsia" w:ascii="黑体" w:eastAsia="黑体"/>
                <w:sz w:val="21"/>
              </w:rPr>
            </w:pPr>
            <w:r>
              <w:rPr>
                <w:rFonts w:hint="eastAsia" w:ascii="黑体" w:eastAsia="黑体"/>
                <w:sz w:val="21"/>
              </w:rPr>
              <w:t>项目</w:t>
            </w:r>
          </w:p>
        </w:tc>
        <w:tc>
          <w:tcPr>
            <w:tcW w:w="2145" w:type="dxa"/>
            <w:vAlign w:val="top"/>
          </w:tcPr>
          <w:p>
            <w:pPr>
              <w:pStyle w:val="7"/>
              <w:spacing w:before="127"/>
              <w:ind w:left="650"/>
              <w:rPr>
                <w:rFonts w:hint="eastAsia" w:ascii="黑体" w:eastAsia="黑体"/>
                <w:sz w:val="21"/>
              </w:rPr>
            </w:pPr>
            <w:r>
              <w:rPr>
                <w:rFonts w:hint="eastAsia" w:ascii="黑体" w:eastAsia="黑体"/>
                <w:sz w:val="21"/>
              </w:rPr>
              <w:t>检查内容</w:t>
            </w:r>
          </w:p>
        </w:tc>
        <w:tc>
          <w:tcPr>
            <w:tcW w:w="7306" w:type="dxa"/>
            <w:vAlign w:val="top"/>
          </w:tcPr>
          <w:p>
            <w:pPr>
              <w:pStyle w:val="7"/>
              <w:spacing w:before="127"/>
              <w:ind w:left="3212" w:right="3204"/>
              <w:jc w:val="center"/>
              <w:rPr>
                <w:rFonts w:hint="eastAsia" w:ascii="黑体" w:eastAsia="黑体"/>
                <w:sz w:val="21"/>
              </w:rPr>
            </w:pPr>
            <w:r>
              <w:rPr>
                <w:rFonts w:hint="eastAsia" w:ascii="黑体" w:eastAsia="黑体"/>
                <w:sz w:val="21"/>
              </w:rPr>
              <w:t>检查依据</w:t>
            </w:r>
          </w:p>
        </w:tc>
        <w:tc>
          <w:tcPr>
            <w:tcW w:w="2969" w:type="dxa"/>
            <w:vAlign w:val="top"/>
          </w:tcPr>
          <w:p>
            <w:pPr>
              <w:pStyle w:val="7"/>
              <w:spacing w:before="127"/>
              <w:ind w:left="537"/>
              <w:rPr>
                <w:rFonts w:hint="eastAsia" w:ascii="黑体" w:eastAsia="黑体"/>
                <w:sz w:val="21"/>
              </w:rPr>
            </w:pPr>
            <w:r>
              <w:rPr>
                <w:rFonts w:hint="eastAsia" w:ascii="黑体" w:eastAsia="黑体"/>
                <w:sz w:val="21"/>
              </w:rPr>
              <w:t>处罚依据和整改建议</w:t>
            </w:r>
          </w:p>
        </w:tc>
        <w:tc>
          <w:tcPr>
            <w:tcW w:w="774" w:type="dxa"/>
            <w:vAlign w:val="top"/>
          </w:tcPr>
          <w:p>
            <w:pPr>
              <w:pStyle w:val="7"/>
              <w:spacing w:before="127"/>
              <w:ind w:left="177"/>
              <w:rPr>
                <w:rFonts w:hint="eastAsia" w:ascii="黑体" w:eastAsia="黑体"/>
                <w:sz w:val="21"/>
              </w:rPr>
            </w:pPr>
            <w:r>
              <w:rPr>
                <w:rFonts w:hint="eastAsia" w:ascii="黑体" w:eastAsia="黑体"/>
                <w:sz w:val="21"/>
              </w:rPr>
              <w:t>备注</w:t>
            </w:r>
          </w:p>
        </w:tc>
      </w:tr>
      <w:tr>
        <w:trPr>
          <w:trHeight w:val="7156" w:hRule="atLeast"/>
        </w:trPr>
        <w:tc>
          <w:tcPr>
            <w:tcW w:w="657"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5"/>
              <w:rPr>
                <w:rFonts w:ascii="Times New Roman"/>
                <w:sz w:val="19"/>
              </w:rPr>
            </w:pPr>
          </w:p>
          <w:p>
            <w:pPr>
              <w:pStyle w:val="7"/>
              <w:ind w:left="6"/>
              <w:jc w:val="center"/>
              <w:rPr>
                <w:sz w:val="21"/>
              </w:rPr>
            </w:pPr>
            <w:r>
              <w:rPr>
                <w:w w:val="99"/>
                <w:sz w:val="21"/>
              </w:rPr>
              <w:t>3</w:t>
            </w:r>
          </w:p>
        </w:tc>
        <w:tc>
          <w:tcPr>
            <w:tcW w:w="656" w:type="dxa"/>
            <w:textDirection w:val="tbRl"/>
            <w:vAlign w:val="top"/>
          </w:tcPr>
          <w:p>
            <w:pPr>
              <w:pStyle w:val="7"/>
              <w:spacing w:before="34"/>
              <w:ind w:left="2364" w:right="2360"/>
              <w:jc w:val="center"/>
              <w:rPr>
                <w:rFonts w:hint="eastAsia" w:ascii="微软雅黑" w:eastAsia="微软雅黑"/>
                <w:b/>
                <w:sz w:val="21"/>
              </w:rPr>
            </w:pPr>
            <w:r>
              <w:rPr>
                <w:rFonts w:hint="eastAsia" w:ascii="微软雅黑" w:eastAsia="微软雅黑"/>
                <w:b/>
                <w:sz w:val="21"/>
              </w:rPr>
              <w:t>完 善 的 工 作 推 进 机 制</w:t>
            </w:r>
          </w:p>
        </w:tc>
        <w:tc>
          <w:tcPr>
            <w:tcW w:w="711"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9"/>
              <w:rPr>
                <w:rFonts w:ascii="Times New Roman"/>
                <w:sz w:val="25"/>
              </w:rPr>
            </w:pPr>
          </w:p>
          <w:p>
            <w:pPr>
              <w:pStyle w:val="7"/>
              <w:spacing w:before="1" w:line="278" w:lineRule="auto"/>
              <w:ind w:left="144" w:right="136"/>
              <w:rPr>
                <w:sz w:val="21"/>
              </w:rPr>
            </w:pPr>
            <w:r>
              <w:rPr>
                <w:sz w:val="21"/>
              </w:rPr>
              <w:t>培训教育</w:t>
            </w:r>
          </w:p>
        </w:tc>
        <w:tc>
          <w:tcPr>
            <w:tcW w:w="2145"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8"/>
              <w:rPr>
                <w:rFonts w:ascii="Times New Roman"/>
                <w:sz w:val="23"/>
              </w:rPr>
            </w:pPr>
          </w:p>
          <w:p>
            <w:pPr>
              <w:pStyle w:val="7"/>
              <w:spacing w:before="1" w:line="278" w:lineRule="auto"/>
              <w:ind w:left="108" w:right="97" w:firstLine="420"/>
              <w:rPr>
                <w:sz w:val="21"/>
              </w:rPr>
            </w:pPr>
            <w:r>
              <w:rPr>
                <w:sz w:val="21"/>
              </w:rPr>
              <w:t xml:space="preserve">查培训记录。 </w:t>
            </w:r>
            <w:r>
              <w:rPr>
                <w:spacing w:val="29"/>
                <w:sz w:val="21"/>
              </w:rPr>
              <w:t>按规定组织实施全</w:t>
            </w:r>
            <w:r>
              <w:rPr>
                <w:spacing w:val="1"/>
                <w:sz w:val="21"/>
              </w:rPr>
              <w:t>员、分层次、分阶段双重预防体系建设培训，如实记录培训考核情况，建立培训档案和从业人员个人安全教育培训档案，培训结束须进行闭卷考试，考核结果应记入</w:t>
            </w:r>
            <w:r>
              <w:rPr>
                <w:sz w:val="21"/>
              </w:rPr>
              <w:t>培训档案。</w:t>
            </w:r>
          </w:p>
        </w:tc>
        <w:tc>
          <w:tcPr>
            <w:tcW w:w="7306" w:type="dxa"/>
            <w:vAlign w:val="top"/>
          </w:tcPr>
          <w:p>
            <w:pPr>
              <w:pStyle w:val="7"/>
              <w:spacing w:before="1"/>
              <w:rPr>
                <w:rFonts w:ascii="Times New Roman"/>
                <w:sz w:val="28"/>
              </w:rPr>
            </w:pPr>
          </w:p>
          <w:p>
            <w:pPr>
              <w:pStyle w:val="7"/>
              <w:spacing w:line="278" w:lineRule="auto"/>
              <w:ind w:left="108" w:right="-15" w:firstLine="314"/>
              <w:rPr>
                <w:sz w:val="21"/>
              </w:rPr>
            </w:pPr>
            <w:r>
              <w:rPr>
                <w:spacing w:val="-23"/>
                <w:sz w:val="21"/>
              </w:rPr>
              <w:t xml:space="preserve">《安法》第 </w:t>
            </w:r>
            <w:r>
              <w:rPr>
                <w:sz w:val="21"/>
              </w:rPr>
              <w:t>25</w:t>
            </w:r>
            <w:r>
              <w:rPr>
                <w:spacing w:val="-13"/>
                <w:sz w:val="21"/>
              </w:rPr>
              <w:t xml:space="preserve"> 条：生产经营单位应当对从业人员进行安全生产教育和培训， </w:t>
            </w:r>
            <w:r>
              <w:rPr>
                <w:spacing w:val="-15"/>
                <w:sz w:val="21"/>
              </w:rPr>
              <w:t>保证从业人员具备必要的安全生产知识，熟悉有关的安全生产规章制度和安全</w:t>
            </w:r>
            <w:r>
              <w:rPr>
                <w:spacing w:val="-11"/>
                <w:sz w:val="21"/>
              </w:rPr>
              <w:t>操作规程，掌握本岗位的安全操作技能，了解事故应急处理措施，知悉自身在</w:t>
            </w:r>
            <w:r>
              <w:rPr>
                <w:spacing w:val="-14"/>
                <w:sz w:val="21"/>
              </w:rPr>
              <w:t>安全生产方面的权利和义务。未经安全生产教育和培训合格的从业人员，不得上岗作业。…</w:t>
            </w:r>
          </w:p>
          <w:p>
            <w:pPr>
              <w:pStyle w:val="7"/>
              <w:spacing w:line="278" w:lineRule="auto"/>
              <w:ind w:left="108" w:right="97" w:firstLine="208"/>
              <w:rPr>
                <w:sz w:val="21"/>
              </w:rPr>
            </w:pPr>
            <w:r>
              <w:rPr>
                <w:w w:val="95"/>
                <w:sz w:val="21"/>
              </w:rPr>
              <w:t>（第四款</w:t>
            </w:r>
            <w:r>
              <w:rPr>
                <w:spacing w:val="-25"/>
                <w:w w:val="95"/>
                <w:sz w:val="21"/>
              </w:rPr>
              <w:t>）</w:t>
            </w:r>
            <w:r>
              <w:rPr>
                <w:spacing w:val="-2"/>
                <w:w w:val="95"/>
                <w:sz w:val="21"/>
              </w:rPr>
              <w:t xml:space="preserve">生产经营单位应当建立安全生产教育和培训档案，如实记录安全  </w:t>
            </w:r>
            <w:r>
              <w:rPr>
                <w:spacing w:val="-2"/>
                <w:sz w:val="21"/>
              </w:rPr>
              <w:t>生产教育和培训的时间、内容、参加人员以及考核结果等情况。</w:t>
            </w:r>
          </w:p>
          <w:p>
            <w:pPr>
              <w:pStyle w:val="7"/>
              <w:spacing w:line="278" w:lineRule="auto"/>
              <w:ind w:left="108" w:right="95"/>
              <w:jc w:val="both"/>
              <w:rPr>
                <w:sz w:val="21"/>
              </w:rPr>
            </w:pPr>
            <w:r>
              <w:rPr>
                <w:spacing w:val="-29"/>
                <w:sz w:val="21"/>
              </w:rPr>
              <w:t xml:space="preserve">第 </w:t>
            </w:r>
            <w:r>
              <w:rPr>
                <w:sz w:val="21"/>
              </w:rPr>
              <w:t>26</w:t>
            </w:r>
            <w:r>
              <w:rPr>
                <w:spacing w:val="-12"/>
                <w:sz w:val="21"/>
              </w:rPr>
              <w:t xml:space="preserve"> 条 生产经营单位采用新工艺、新技术、新材料或者使用新设备，必须了</w:t>
            </w:r>
            <w:r>
              <w:rPr>
                <w:spacing w:val="-8"/>
                <w:w w:val="95"/>
                <w:sz w:val="21"/>
              </w:rPr>
              <w:t xml:space="preserve">解、掌握其安全技术特性，采取有效的安全防护措施，并对从业人员进行专门  </w:t>
            </w:r>
            <w:r>
              <w:rPr>
                <w:spacing w:val="-8"/>
                <w:sz w:val="21"/>
              </w:rPr>
              <w:t>的安全生产教育和培训。</w:t>
            </w:r>
          </w:p>
          <w:p>
            <w:pPr>
              <w:pStyle w:val="7"/>
              <w:spacing w:line="278" w:lineRule="auto"/>
              <w:ind w:left="108" w:right="98" w:firstLine="208"/>
              <w:jc w:val="both"/>
              <w:rPr>
                <w:sz w:val="21"/>
              </w:rPr>
            </w:pPr>
            <w:r>
              <w:rPr>
                <w:spacing w:val="28"/>
                <w:sz w:val="21"/>
              </w:rPr>
              <w:t>第</w:t>
            </w:r>
            <w:r>
              <w:rPr>
                <w:sz w:val="21"/>
              </w:rPr>
              <w:t>27</w:t>
            </w:r>
            <w:r>
              <w:rPr>
                <w:spacing w:val="-11"/>
                <w:sz w:val="21"/>
              </w:rPr>
              <w:t xml:space="preserve"> 条 生产经营单位的特种作业人员必须按照国家有关规定经专门的安全作业培训，取得相应资格，方可上岗作业。</w:t>
            </w:r>
          </w:p>
          <w:p>
            <w:pPr>
              <w:pStyle w:val="7"/>
              <w:spacing w:line="278" w:lineRule="auto"/>
              <w:ind w:left="108" w:right="-15" w:firstLine="208"/>
              <w:jc w:val="both"/>
              <w:rPr>
                <w:sz w:val="21"/>
              </w:rPr>
            </w:pPr>
            <w:r>
              <w:rPr>
                <w:spacing w:val="-10"/>
                <w:sz w:val="21"/>
              </w:rPr>
              <w:t xml:space="preserve">《条例》第 </w:t>
            </w:r>
            <w:r>
              <w:rPr>
                <w:sz w:val="21"/>
              </w:rPr>
              <w:t>16</w:t>
            </w:r>
            <w:r>
              <w:rPr>
                <w:spacing w:val="-8"/>
                <w:sz w:val="21"/>
              </w:rPr>
              <w:t xml:space="preserve"> 条 生产经营单位应当对包括被派遣劳动者在内的从业人员， </w:t>
            </w:r>
            <w:r>
              <w:rPr>
                <w:spacing w:val="-10"/>
                <w:sz w:val="21"/>
              </w:rPr>
              <w:t>按照国家规定的学时进行岗位安全操作规程、操作技能、事故防范措施和应急</w:t>
            </w:r>
            <w:r>
              <w:rPr>
                <w:spacing w:val="-15"/>
                <w:w w:val="95"/>
                <w:sz w:val="21"/>
              </w:rPr>
              <w:t>措施、应急技能等教育培训。未经安全生产教育培训合格的人员不得上岗作业。</w:t>
            </w:r>
          </w:p>
          <w:p>
            <w:pPr>
              <w:pStyle w:val="7"/>
              <w:spacing w:line="278" w:lineRule="auto"/>
              <w:ind w:left="108" w:right="47"/>
              <w:rPr>
                <w:sz w:val="21"/>
              </w:rPr>
            </w:pPr>
            <w:r>
              <w:rPr>
                <w:sz w:val="21"/>
              </w:rPr>
              <w:t>（第四款）生产经营单位应当建立从业人员安全生产教育和培训档案，如实记</w:t>
            </w:r>
            <w:r>
              <w:rPr>
                <w:w w:val="95"/>
                <w:sz w:val="21"/>
              </w:rPr>
              <w:t>录安全生产教育和培训的时间、地点、内容、参加人员以及考核结果等情况。</w:t>
            </w:r>
          </w:p>
          <w:p>
            <w:pPr>
              <w:pStyle w:val="7"/>
              <w:spacing w:line="278" w:lineRule="auto"/>
              <w:ind w:left="108" w:right="95" w:firstLine="208"/>
              <w:jc w:val="both"/>
              <w:rPr>
                <w:sz w:val="21"/>
              </w:rPr>
            </w:pPr>
            <w:r>
              <w:rPr>
                <w:spacing w:val="-8"/>
                <w:sz w:val="21"/>
              </w:rPr>
              <w:t xml:space="preserve">《办法》第 </w:t>
            </w:r>
            <w:r>
              <w:rPr>
                <w:sz w:val="21"/>
              </w:rPr>
              <w:t>7</w:t>
            </w:r>
            <w:r>
              <w:rPr>
                <w:spacing w:val="-5"/>
                <w:sz w:val="21"/>
              </w:rPr>
              <w:t xml:space="preserve"> 条 生产经营单位应当将风险管控纳入安全生产责任制，具体</w:t>
            </w:r>
            <w:r>
              <w:rPr>
                <w:spacing w:val="-6"/>
                <w:w w:val="95"/>
                <w:sz w:val="21"/>
              </w:rPr>
              <w:t>履行下列风险管控责任：</w:t>
            </w:r>
            <w:r>
              <w:rPr>
                <w:spacing w:val="-16"/>
                <w:w w:val="95"/>
                <w:sz w:val="21"/>
              </w:rPr>
              <w:t>（</w:t>
            </w:r>
            <w:r>
              <w:rPr>
                <w:w w:val="95"/>
                <w:sz w:val="21"/>
              </w:rPr>
              <w:t>三</w:t>
            </w:r>
            <w:r>
              <w:rPr>
                <w:spacing w:val="-15"/>
                <w:w w:val="95"/>
                <w:sz w:val="21"/>
              </w:rPr>
              <w:t>）</w:t>
            </w:r>
            <w:r>
              <w:rPr>
                <w:w w:val="95"/>
                <w:sz w:val="21"/>
              </w:rPr>
              <w:t xml:space="preserve">将风险管控纳入年度教育和培训计划并组织实  </w:t>
            </w:r>
            <w:r>
              <w:rPr>
                <w:sz w:val="21"/>
              </w:rPr>
              <w:t>施，确保从业人员熟悉掌握相关知识技能；…</w:t>
            </w:r>
          </w:p>
        </w:tc>
        <w:tc>
          <w:tcPr>
            <w:tcW w:w="2969"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0"/>
              <w:rPr>
                <w:rFonts w:ascii="Times New Roman"/>
                <w:sz w:val="15"/>
              </w:rPr>
            </w:pPr>
          </w:p>
          <w:p>
            <w:pPr>
              <w:pStyle w:val="7"/>
              <w:spacing w:line="278" w:lineRule="auto"/>
              <w:ind w:left="108" w:right="95" w:firstLine="314"/>
              <w:jc w:val="both"/>
              <w:rPr>
                <w:sz w:val="21"/>
              </w:rPr>
            </w:pPr>
            <w:r>
              <w:rPr>
                <w:w w:val="95"/>
                <w:sz w:val="21"/>
              </w:rPr>
              <w:t>《安法》第九十四条：责令</w:t>
            </w:r>
            <w:r>
              <w:rPr>
                <w:sz w:val="21"/>
              </w:rPr>
              <w:t>限期改正，可以处五万元以下的罚款；逾期未改正的，责令停产停业整顿，并处五万元以上十万元以下的罚款，对其直接负责的主管人员和其他直接责任人员处一万元以上二万元以下的罚款。</w:t>
            </w:r>
          </w:p>
          <w:p>
            <w:pPr>
              <w:pStyle w:val="7"/>
              <w:spacing w:line="278" w:lineRule="auto"/>
              <w:ind w:left="108" w:right="95" w:firstLine="208"/>
              <w:jc w:val="both"/>
              <w:rPr>
                <w:sz w:val="21"/>
              </w:rPr>
            </w:pPr>
            <w:r>
              <w:rPr>
                <w:spacing w:val="-9"/>
                <w:sz w:val="21"/>
              </w:rPr>
              <w:t xml:space="preserve">《条例》第 </w:t>
            </w:r>
            <w:r>
              <w:rPr>
                <w:sz w:val="21"/>
              </w:rPr>
              <w:t>55</w:t>
            </w:r>
            <w:r>
              <w:rPr>
                <w:spacing w:val="-9"/>
                <w:sz w:val="21"/>
              </w:rPr>
              <w:t xml:space="preserve"> 条 责令限期</w:t>
            </w:r>
            <w:r>
              <w:rPr>
                <w:spacing w:val="-1"/>
                <w:sz w:val="21"/>
              </w:rPr>
              <w:t>改正，可以处一万元以上五万</w:t>
            </w:r>
            <w:r>
              <w:rPr>
                <w:spacing w:val="-7"/>
                <w:w w:val="95"/>
                <w:sz w:val="21"/>
              </w:rPr>
              <w:t>元以下罚款;逾期未改正的，责</w:t>
            </w:r>
            <w:r>
              <w:rPr>
                <w:spacing w:val="-2"/>
                <w:sz w:val="21"/>
              </w:rPr>
              <w:t>令停产停业整顿，并处五万元</w:t>
            </w:r>
            <w:r>
              <w:rPr>
                <w:spacing w:val="-1"/>
                <w:sz w:val="21"/>
              </w:rPr>
              <w:t>以上十万元以下罚款，对其直接负责的主管人员和其他直接责任人员处一万元以上二万元</w:t>
            </w:r>
            <w:r>
              <w:rPr>
                <w:sz w:val="21"/>
              </w:rPr>
              <w:t>以下罚款。</w:t>
            </w:r>
          </w:p>
        </w:tc>
        <w:tc>
          <w:tcPr>
            <w:tcW w:w="774" w:type="dxa"/>
            <w:vAlign w:val="top"/>
          </w:tcPr>
          <w:p>
            <w:pPr>
              <w:pStyle w:val="7"/>
              <w:rPr>
                <w:rFonts w:ascii="Times New Roman"/>
                <w:sz w:val="20"/>
              </w:rPr>
            </w:pPr>
          </w:p>
        </w:tc>
      </w:tr>
    </w:tbl>
    <w:p>
      <w:pPr>
        <w:spacing w:after="0"/>
        <w:rPr>
          <w:rFonts w:ascii="Times New Roman"/>
          <w:sz w:val="20"/>
        </w:rPr>
        <w:sectPr>
          <w:pgSz w:w="16840" w:h="11910" w:orient="landscape"/>
          <w:pgMar w:top="1100" w:right="700" w:bottom="1100" w:left="700" w:header="0" w:footer="907"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W w:w="15218"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7"/>
        <w:gridCol w:w="656"/>
        <w:gridCol w:w="711"/>
        <w:gridCol w:w="2145"/>
        <w:gridCol w:w="7306"/>
        <w:gridCol w:w="2969"/>
        <w:gridCol w:w="774"/>
      </w:tblGrid>
      <w:tr>
        <w:trPr>
          <w:trHeight w:val="523" w:hRule="atLeast"/>
        </w:trPr>
        <w:tc>
          <w:tcPr>
            <w:tcW w:w="657" w:type="dxa"/>
            <w:vAlign w:val="top"/>
          </w:tcPr>
          <w:p>
            <w:pPr>
              <w:pStyle w:val="7"/>
              <w:spacing w:before="127"/>
              <w:ind w:left="97" w:right="90"/>
              <w:jc w:val="center"/>
              <w:rPr>
                <w:rFonts w:hint="eastAsia" w:ascii="黑体" w:eastAsia="黑体"/>
                <w:sz w:val="21"/>
              </w:rPr>
            </w:pPr>
            <w:r>
              <w:rPr>
                <w:rFonts w:hint="eastAsia" w:ascii="黑体" w:eastAsia="黑体"/>
                <w:sz w:val="21"/>
              </w:rPr>
              <w:t>序号</w:t>
            </w:r>
          </w:p>
        </w:tc>
        <w:tc>
          <w:tcPr>
            <w:tcW w:w="656" w:type="dxa"/>
            <w:vAlign w:val="top"/>
          </w:tcPr>
          <w:p>
            <w:pPr>
              <w:pStyle w:val="7"/>
              <w:spacing w:before="127"/>
              <w:ind w:left="116"/>
              <w:rPr>
                <w:rFonts w:hint="eastAsia" w:ascii="黑体" w:eastAsia="黑体"/>
                <w:sz w:val="21"/>
              </w:rPr>
            </w:pPr>
            <w:r>
              <w:rPr>
                <w:rFonts w:hint="eastAsia" w:ascii="黑体" w:eastAsia="黑体"/>
                <w:sz w:val="21"/>
              </w:rPr>
              <w:t>类别</w:t>
            </w:r>
          </w:p>
        </w:tc>
        <w:tc>
          <w:tcPr>
            <w:tcW w:w="711" w:type="dxa"/>
            <w:vAlign w:val="top"/>
          </w:tcPr>
          <w:p>
            <w:pPr>
              <w:pStyle w:val="7"/>
              <w:spacing w:before="127"/>
              <w:ind w:left="144"/>
              <w:rPr>
                <w:rFonts w:hint="eastAsia" w:ascii="黑体" w:eastAsia="黑体"/>
                <w:sz w:val="21"/>
              </w:rPr>
            </w:pPr>
            <w:r>
              <w:rPr>
                <w:rFonts w:hint="eastAsia" w:ascii="黑体" w:eastAsia="黑体"/>
                <w:sz w:val="21"/>
              </w:rPr>
              <w:t>项目</w:t>
            </w:r>
          </w:p>
        </w:tc>
        <w:tc>
          <w:tcPr>
            <w:tcW w:w="2145" w:type="dxa"/>
            <w:vAlign w:val="top"/>
          </w:tcPr>
          <w:p>
            <w:pPr>
              <w:pStyle w:val="7"/>
              <w:spacing w:before="127"/>
              <w:ind w:left="650"/>
              <w:rPr>
                <w:rFonts w:hint="eastAsia" w:ascii="黑体" w:eastAsia="黑体"/>
                <w:sz w:val="21"/>
              </w:rPr>
            </w:pPr>
            <w:r>
              <w:rPr>
                <w:rFonts w:hint="eastAsia" w:ascii="黑体" w:eastAsia="黑体"/>
                <w:sz w:val="21"/>
              </w:rPr>
              <w:t>检查内容</w:t>
            </w:r>
          </w:p>
        </w:tc>
        <w:tc>
          <w:tcPr>
            <w:tcW w:w="7306" w:type="dxa"/>
            <w:vAlign w:val="top"/>
          </w:tcPr>
          <w:p>
            <w:pPr>
              <w:pStyle w:val="7"/>
              <w:spacing w:before="127"/>
              <w:ind w:left="3212" w:right="3204"/>
              <w:jc w:val="center"/>
              <w:rPr>
                <w:rFonts w:hint="eastAsia" w:ascii="黑体" w:eastAsia="黑体"/>
                <w:sz w:val="21"/>
              </w:rPr>
            </w:pPr>
            <w:r>
              <w:rPr>
                <w:rFonts w:hint="eastAsia" w:ascii="黑体" w:eastAsia="黑体"/>
                <w:sz w:val="21"/>
              </w:rPr>
              <w:t>检查依据</w:t>
            </w:r>
          </w:p>
        </w:tc>
        <w:tc>
          <w:tcPr>
            <w:tcW w:w="2969" w:type="dxa"/>
            <w:vAlign w:val="top"/>
          </w:tcPr>
          <w:p>
            <w:pPr>
              <w:pStyle w:val="7"/>
              <w:spacing w:before="127"/>
              <w:ind w:left="537"/>
              <w:rPr>
                <w:rFonts w:hint="eastAsia" w:ascii="黑体" w:eastAsia="黑体"/>
                <w:sz w:val="21"/>
              </w:rPr>
            </w:pPr>
            <w:r>
              <w:rPr>
                <w:rFonts w:hint="eastAsia" w:ascii="黑体" w:eastAsia="黑体"/>
                <w:sz w:val="21"/>
              </w:rPr>
              <w:t>处罚依据和整改建议</w:t>
            </w:r>
          </w:p>
        </w:tc>
        <w:tc>
          <w:tcPr>
            <w:tcW w:w="774" w:type="dxa"/>
            <w:vAlign w:val="top"/>
          </w:tcPr>
          <w:p>
            <w:pPr>
              <w:pStyle w:val="7"/>
              <w:spacing w:before="127"/>
              <w:ind w:left="177"/>
              <w:rPr>
                <w:rFonts w:hint="eastAsia" w:ascii="黑体" w:eastAsia="黑体"/>
                <w:sz w:val="21"/>
              </w:rPr>
            </w:pPr>
            <w:r>
              <w:rPr>
                <w:rFonts w:hint="eastAsia" w:ascii="黑体" w:eastAsia="黑体"/>
                <w:sz w:val="21"/>
              </w:rPr>
              <w:t>备注</w:t>
            </w:r>
          </w:p>
        </w:tc>
      </w:tr>
      <w:tr>
        <w:trPr>
          <w:trHeight w:val="7298" w:hRule="atLeast"/>
        </w:trPr>
        <w:tc>
          <w:tcPr>
            <w:tcW w:w="657"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8"/>
              <w:rPr>
                <w:rFonts w:ascii="Times New Roman"/>
                <w:sz w:val="25"/>
              </w:rPr>
            </w:pPr>
          </w:p>
          <w:p>
            <w:pPr>
              <w:pStyle w:val="7"/>
              <w:ind w:left="6"/>
              <w:jc w:val="center"/>
              <w:rPr>
                <w:sz w:val="21"/>
              </w:rPr>
            </w:pPr>
            <w:r>
              <w:rPr>
                <w:w w:val="99"/>
                <w:sz w:val="21"/>
              </w:rPr>
              <w:t>4</w:t>
            </w:r>
          </w:p>
        </w:tc>
        <w:tc>
          <w:tcPr>
            <w:tcW w:w="656" w:type="dxa"/>
            <w:textDirection w:val="tbRl"/>
            <w:vAlign w:val="top"/>
          </w:tcPr>
          <w:p>
            <w:pPr>
              <w:pStyle w:val="7"/>
              <w:spacing w:before="34"/>
              <w:ind w:left="1620" w:right="1612"/>
              <w:jc w:val="center"/>
              <w:rPr>
                <w:rFonts w:hint="eastAsia" w:ascii="微软雅黑" w:eastAsia="微软雅黑"/>
                <w:b/>
                <w:sz w:val="21"/>
              </w:rPr>
            </w:pPr>
            <w:r>
              <w:rPr>
                <w:rFonts w:hint="eastAsia" w:ascii="微软雅黑" w:eastAsia="微软雅黑"/>
                <w:b/>
                <w:sz w:val="21"/>
              </w:rPr>
              <w:t>全 面 覆 盖 的 风 险 辨 识 分 级 管 控 机 制</w:t>
            </w:r>
          </w:p>
        </w:tc>
        <w:tc>
          <w:tcPr>
            <w:tcW w:w="711"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1"/>
              <w:rPr>
                <w:rFonts w:ascii="Times New Roman"/>
                <w:sz w:val="24"/>
              </w:rPr>
            </w:pPr>
          </w:p>
          <w:p>
            <w:pPr>
              <w:pStyle w:val="7"/>
              <w:spacing w:line="278" w:lineRule="auto"/>
              <w:ind w:left="108" w:right="172"/>
              <w:jc w:val="both"/>
              <w:rPr>
                <w:sz w:val="21"/>
              </w:rPr>
            </w:pPr>
            <w:r>
              <w:rPr>
                <w:sz w:val="21"/>
              </w:rPr>
              <w:t>风险分级管控制度</w:t>
            </w:r>
          </w:p>
        </w:tc>
        <w:tc>
          <w:tcPr>
            <w:tcW w:w="2145"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15" w:line="278" w:lineRule="auto"/>
              <w:ind w:left="108" w:right="97"/>
              <w:jc w:val="both"/>
              <w:rPr>
                <w:sz w:val="21"/>
              </w:rPr>
            </w:pPr>
            <w:r>
              <w:rPr>
                <w:sz w:val="21"/>
              </w:rPr>
              <w:t>按照规定建立风险分级管控制度，制度内容应包括风险点确定、危险源辨识、风险评价、风险控制措施的制定与实施、风险分级管控、责任部门、责任人、工作方法、工作流程以及持续改进等方面内容， 并符合企业实际。</w:t>
            </w:r>
          </w:p>
        </w:tc>
        <w:tc>
          <w:tcPr>
            <w:tcW w:w="7306" w:type="dxa"/>
            <w:vAlign w:val="top"/>
          </w:tcPr>
          <w:p>
            <w:pPr>
              <w:pStyle w:val="7"/>
              <w:rPr>
                <w:rFonts w:ascii="Times New Roman"/>
                <w:sz w:val="20"/>
              </w:rPr>
            </w:pPr>
          </w:p>
          <w:p>
            <w:pPr>
              <w:pStyle w:val="7"/>
              <w:spacing w:before="10"/>
              <w:rPr>
                <w:rFonts w:ascii="Times New Roman"/>
                <w:sz w:val="27"/>
              </w:rPr>
            </w:pPr>
          </w:p>
          <w:p>
            <w:pPr>
              <w:pStyle w:val="7"/>
              <w:spacing w:line="278" w:lineRule="auto"/>
              <w:ind w:left="108" w:right="-15" w:firstLine="420"/>
              <w:rPr>
                <w:sz w:val="21"/>
              </w:rPr>
            </w:pPr>
            <w:r>
              <w:rPr>
                <w:spacing w:val="-23"/>
                <w:sz w:val="21"/>
              </w:rPr>
              <w:t xml:space="preserve">《条例》第 </w:t>
            </w:r>
            <w:r>
              <w:rPr>
                <w:sz w:val="21"/>
              </w:rPr>
              <w:t>11</w:t>
            </w:r>
            <w:r>
              <w:rPr>
                <w:spacing w:val="-12"/>
                <w:sz w:val="21"/>
              </w:rPr>
              <w:t xml:space="preserve"> 条 生产经营单位应当建立健全安全生产责任制，明确各级、各岗位的责任人员、责任范围和考核标准，形成包括全体人员和全部生产经营</w:t>
            </w:r>
            <w:r>
              <w:rPr>
                <w:spacing w:val="-14"/>
                <w:sz w:val="21"/>
              </w:rPr>
              <w:t>活动的安全生产责任体系，加强对安全生产责任制落实情况的监督考核，保证安全生产责任制的落实。</w:t>
            </w:r>
          </w:p>
          <w:p>
            <w:pPr>
              <w:pStyle w:val="7"/>
              <w:spacing w:line="278" w:lineRule="auto"/>
              <w:ind w:left="108" w:right="95" w:firstLine="208"/>
              <w:rPr>
                <w:sz w:val="21"/>
              </w:rPr>
            </w:pPr>
            <w:r>
              <w:rPr>
                <w:spacing w:val="-29"/>
                <w:sz w:val="21"/>
              </w:rPr>
              <w:t xml:space="preserve">第 </w:t>
            </w:r>
            <w:r>
              <w:rPr>
                <w:sz w:val="21"/>
              </w:rPr>
              <w:t>12</w:t>
            </w:r>
            <w:r>
              <w:rPr>
                <w:spacing w:val="-10"/>
                <w:sz w:val="21"/>
              </w:rPr>
              <w:t xml:space="preserve"> 条 生产经营单位应当根据本单位实际和国家有关规定，制定安全生产规章制度和操作规程。</w:t>
            </w:r>
          </w:p>
          <w:p>
            <w:pPr>
              <w:pStyle w:val="7"/>
              <w:spacing w:line="278" w:lineRule="auto"/>
              <w:ind w:left="108" w:right="95" w:firstLine="420"/>
              <w:jc w:val="both"/>
              <w:rPr>
                <w:sz w:val="21"/>
              </w:rPr>
            </w:pPr>
            <w:r>
              <w:rPr>
                <w:spacing w:val="-7"/>
                <w:w w:val="95"/>
                <w:sz w:val="21"/>
              </w:rPr>
              <w:t xml:space="preserve">矿山、金属冶炼、建筑施工、道路运输单位和危险物品的生产、经营、储  </w:t>
            </w:r>
            <w:r>
              <w:rPr>
                <w:spacing w:val="-8"/>
                <w:w w:val="95"/>
                <w:sz w:val="21"/>
              </w:rPr>
              <w:t>存、废弃处置以及使用危险物品的数量构成重大危险源的单位应当建立健全和  实施以下安全生产规章制度：…（</w:t>
            </w:r>
            <w:r>
              <w:rPr>
                <w:w w:val="95"/>
                <w:sz w:val="21"/>
              </w:rPr>
              <w:t>四</w:t>
            </w:r>
            <w:r>
              <w:rPr>
                <w:spacing w:val="-10"/>
                <w:w w:val="95"/>
                <w:sz w:val="21"/>
              </w:rPr>
              <w:t>）</w:t>
            </w:r>
            <w:r>
              <w:rPr>
                <w:spacing w:val="-2"/>
                <w:w w:val="95"/>
                <w:sz w:val="21"/>
              </w:rPr>
              <w:t xml:space="preserve">具有较大危险、有害因素的生产经营场  </w:t>
            </w:r>
            <w:r>
              <w:rPr>
                <w:spacing w:val="-6"/>
                <w:w w:val="95"/>
                <w:sz w:val="21"/>
              </w:rPr>
              <w:t>所、设备和设施的安全管理制度;</w:t>
            </w:r>
            <w:r>
              <w:rPr>
                <w:spacing w:val="-8"/>
                <w:w w:val="95"/>
                <w:sz w:val="21"/>
              </w:rPr>
              <w:t>（</w:t>
            </w:r>
            <w:r>
              <w:rPr>
                <w:w w:val="95"/>
                <w:sz w:val="21"/>
              </w:rPr>
              <w:t>五</w:t>
            </w:r>
            <w:r>
              <w:rPr>
                <w:spacing w:val="-17"/>
                <w:w w:val="95"/>
                <w:sz w:val="21"/>
              </w:rPr>
              <w:t>）</w:t>
            </w:r>
            <w:r>
              <w:rPr>
                <w:w w:val="95"/>
                <w:sz w:val="21"/>
              </w:rPr>
              <w:t>危险作业和重大危险源监控管理制度;</w:t>
            </w:r>
          </w:p>
          <w:p>
            <w:pPr>
              <w:pStyle w:val="7"/>
              <w:spacing w:line="269" w:lineRule="exact"/>
              <w:ind w:left="108"/>
              <w:rPr>
                <w:sz w:val="21"/>
              </w:rPr>
            </w:pPr>
            <w:r>
              <w:rPr>
                <w:sz w:val="21"/>
              </w:rPr>
              <w:t>（七）安全生产风险管控和事故隐患排查治理制度;…</w:t>
            </w:r>
          </w:p>
          <w:p>
            <w:pPr>
              <w:pStyle w:val="7"/>
              <w:spacing w:before="43" w:line="278" w:lineRule="auto"/>
              <w:ind w:left="108" w:right="95" w:firstLine="420"/>
              <w:jc w:val="both"/>
              <w:rPr>
                <w:sz w:val="21"/>
              </w:rPr>
            </w:pPr>
            <w:r>
              <w:rPr>
                <w:spacing w:val="-28"/>
                <w:sz w:val="21"/>
              </w:rPr>
              <w:t xml:space="preserve">第 </w:t>
            </w:r>
            <w:r>
              <w:rPr>
                <w:sz w:val="21"/>
              </w:rPr>
              <w:t>13</w:t>
            </w:r>
            <w:r>
              <w:rPr>
                <w:spacing w:val="-3"/>
                <w:sz w:val="21"/>
              </w:rPr>
              <w:t xml:space="preserve"> 条 生产经营单位的主要负责人是本单位安全生产工作的第一责任</w:t>
            </w:r>
            <w:r>
              <w:rPr>
                <w:spacing w:val="-5"/>
                <w:w w:val="95"/>
                <w:sz w:val="21"/>
              </w:rPr>
              <w:t>人，应当履行下列职责：…</w:t>
            </w:r>
            <w:r>
              <w:rPr>
                <w:spacing w:val="-8"/>
                <w:w w:val="95"/>
                <w:sz w:val="21"/>
              </w:rPr>
              <w:t>（</w:t>
            </w:r>
            <w:r>
              <w:rPr>
                <w:w w:val="95"/>
                <w:sz w:val="21"/>
              </w:rPr>
              <w:t>二</w:t>
            </w:r>
            <w:r>
              <w:rPr>
                <w:spacing w:val="-13"/>
                <w:w w:val="95"/>
                <w:sz w:val="21"/>
              </w:rPr>
              <w:t>）</w:t>
            </w:r>
            <w:r>
              <w:rPr>
                <w:w w:val="95"/>
                <w:sz w:val="21"/>
              </w:rPr>
              <w:t xml:space="preserve">组织制定本单位安全生产规章制度和操作规  </w:t>
            </w:r>
            <w:r>
              <w:rPr>
                <w:spacing w:val="-6"/>
                <w:w w:val="95"/>
                <w:sz w:val="21"/>
              </w:rPr>
              <w:t>程；</w:t>
            </w:r>
            <w:r>
              <w:rPr>
                <w:spacing w:val="-12"/>
                <w:w w:val="95"/>
                <w:sz w:val="21"/>
              </w:rPr>
              <w:t>（</w:t>
            </w:r>
            <w:r>
              <w:rPr>
                <w:w w:val="95"/>
                <w:sz w:val="21"/>
              </w:rPr>
              <w:t>六</w:t>
            </w:r>
            <w:r>
              <w:rPr>
                <w:spacing w:val="-13"/>
                <w:w w:val="95"/>
                <w:sz w:val="21"/>
              </w:rPr>
              <w:t>）</w:t>
            </w:r>
            <w:r>
              <w:rPr>
                <w:spacing w:val="-1"/>
                <w:w w:val="95"/>
                <w:sz w:val="21"/>
              </w:rPr>
              <w:t xml:space="preserve">督促检查本单位安全生产，组织开展安全生产风险管控和事故隐患  </w:t>
            </w:r>
            <w:r>
              <w:rPr>
                <w:spacing w:val="-1"/>
                <w:sz w:val="21"/>
              </w:rPr>
              <w:t>排查治理。</w:t>
            </w:r>
          </w:p>
          <w:p>
            <w:pPr>
              <w:pStyle w:val="7"/>
              <w:spacing w:line="278" w:lineRule="auto"/>
              <w:ind w:left="108" w:right="47" w:firstLine="314"/>
              <w:jc w:val="both"/>
              <w:rPr>
                <w:sz w:val="21"/>
              </w:rPr>
            </w:pPr>
            <w:r>
              <w:rPr>
                <w:spacing w:val="-9"/>
                <w:sz w:val="21"/>
              </w:rPr>
              <w:t xml:space="preserve">《办法》第 </w:t>
            </w:r>
            <w:r>
              <w:rPr>
                <w:sz w:val="21"/>
              </w:rPr>
              <w:t>7</w:t>
            </w:r>
            <w:r>
              <w:rPr>
                <w:spacing w:val="-5"/>
                <w:sz w:val="21"/>
              </w:rPr>
              <w:t xml:space="preserve"> 条 生产经营单位应当将风险管控纳入安全生产责任制，具</w:t>
            </w:r>
            <w:r>
              <w:rPr>
                <w:spacing w:val="-5"/>
                <w:w w:val="95"/>
                <w:sz w:val="21"/>
              </w:rPr>
              <w:t xml:space="preserve">体履行下列风险管控责任：（一）建立包括辨识部位、存在风险、风险分级、  事故类型、主要管控措施、责任部门和责任人等内容的风险管控制度；（二）  </w:t>
            </w:r>
            <w:r>
              <w:rPr>
                <w:spacing w:val="-9"/>
                <w:sz w:val="21"/>
              </w:rPr>
              <w:t>根据生产工艺、设备、设计等环节变化情况，及时修改完善相应的安全操作规程；…</w:t>
            </w:r>
          </w:p>
        </w:tc>
        <w:tc>
          <w:tcPr>
            <w:tcW w:w="2969" w:type="dxa"/>
            <w:vAlign w:val="top"/>
          </w:tcPr>
          <w:p>
            <w:pPr>
              <w:pStyle w:val="7"/>
              <w:rPr>
                <w:rFonts w:ascii="Times New Roman"/>
                <w:sz w:val="20"/>
              </w:rPr>
            </w:pPr>
          </w:p>
          <w:p>
            <w:pPr>
              <w:pStyle w:val="7"/>
              <w:rPr>
                <w:rFonts w:ascii="Times New Roman"/>
                <w:sz w:val="20"/>
              </w:rPr>
            </w:pPr>
          </w:p>
          <w:p>
            <w:pPr>
              <w:pStyle w:val="7"/>
              <w:spacing w:before="5"/>
              <w:rPr>
                <w:rFonts w:ascii="Times New Roman"/>
                <w:sz w:val="21"/>
              </w:rPr>
            </w:pPr>
          </w:p>
          <w:p>
            <w:pPr>
              <w:pStyle w:val="7"/>
              <w:spacing w:line="278" w:lineRule="auto"/>
              <w:ind w:left="108" w:right="95" w:firstLine="208"/>
              <w:jc w:val="both"/>
              <w:rPr>
                <w:sz w:val="21"/>
              </w:rPr>
            </w:pPr>
            <w:r>
              <w:rPr>
                <w:spacing w:val="-1"/>
                <w:sz w:val="21"/>
              </w:rPr>
              <w:t>《条例》第六十一条：责令限期改正，可以处一万元以上十万元以下的罚款；逾期未改正的，责令停产停业整顿，并处十万元以上二十万元以下的罚款，对其直接负责的主管人员和其他直接责任人员处二万元以上五万元以下的罚款；构成犯罪的，依照刑法有关规定</w:t>
            </w:r>
            <w:r>
              <w:rPr>
                <w:sz w:val="21"/>
              </w:rPr>
              <w:t>追究刑事责任。</w:t>
            </w:r>
          </w:p>
          <w:p>
            <w:pPr>
              <w:pStyle w:val="7"/>
              <w:spacing w:line="278" w:lineRule="auto"/>
              <w:ind w:left="108" w:right="-15" w:firstLine="208"/>
              <w:rPr>
                <w:sz w:val="21"/>
              </w:rPr>
            </w:pPr>
            <w:r>
              <w:rPr>
                <w:spacing w:val="-17"/>
                <w:sz w:val="21"/>
              </w:rPr>
              <w:t xml:space="preserve">《办法》第 </w:t>
            </w:r>
            <w:r>
              <w:rPr>
                <w:sz w:val="21"/>
              </w:rPr>
              <w:t>29</w:t>
            </w:r>
            <w:r>
              <w:rPr>
                <w:spacing w:val="-15"/>
                <w:sz w:val="21"/>
              </w:rPr>
              <w:t xml:space="preserve"> 条：责令限期</w:t>
            </w:r>
            <w:r>
              <w:rPr>
                <w:spacing w:val="-2"/>
                <w:sz w:val="21"/>
              </w:rPr>
              <w:t>改正，可以处一万元以上十万</w:t>
            </w:r>
            <w:r>
              <w:rPr>
                <w:spacing w:val="-10"/>
                <w:sz w:val="21"/>
              </w:rPr>
              <w:t xml:space="preserve">元以下的罚款；逾期未改正的， </w:t>
            </w:r>
            <w:r>
              <w:rPr>
                <w:spacing w:val="-1"/>
                <w:sz w:val="21"/>
              </w:rPr>
              <w:t>处十万元以上二十万元以下的</w:t>
            </w:r>
            <w:r>
              <w:rPr>
                <w:sz w:val="21"/>
              </w:rPr>
              <w:t>罚款，对其直接负责的主管人员和其他直接责任人员处二万元以上五万元以下的罚款；构成犯罪的，依照刑法有关规定追究刑事责任。</w:t>
            </w:r>
          </w:p>
        </w:tc>
        <w:tc>
          <w:tcPr>
            <w:tcW w:w="774" w:type="dxa"/>
            <w:vAlign w:val="top"/>
          </w:tcPr>
          <w:p>
            <w:pPr>
              <w:pStyle w:val="7"/>
              <w:rPr>
                <w:rFonts w:ascii="Times New Roman"/>
                <w:sz w:val="20"/>
              </w:rPr>
            </w:pPr>
          </w:p>
        </w:tc>
      </w:tr>
    </w:tbl>
    <w:p>
      <w:pPr>
        <w:spacing w:after="0"/>
        <w:rPr>
          <w:rFonts w:ascii="Times New Roman"/>
          <w:sz w:val="20"/>
        </w:rPr>
        <w:sectPr>
          <w:pgSz w:w="16840" w:h="11910" w:orient="landscape"/>
          <w:pgMar w:top="1100" w:right="700" w:bottom="1100" w:left="700" w:header="0" w:footer="907"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W w:w="15218"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7"/>
        <w:gridCol w:w="656"/>
        <w:gridCol w:w="711"/>
        <w:gridCol w:w="2145"/>
        <w:gridCol w:w="7306"/>
        <w:gridCol w:w="2969"/>
        <w:gridCol w:w="774"/>
      </w:tblGrid>
      <w:tr>
        <w:trPr>
          <w:trHeight w:val="523" w:hRule="atLeast"/>
        </w:trPr>
        <w:tc>
          <w:tcPr>
            <w:tcW w:w="657" w:type="dxa"/>
            <w:vAlign w:val="top"/>
          </w:tcPr>
          <w:p>
            <w:pPr>
              <w:pStyle w:val="7"/>
              <w:spacing w:before="127"/>
              <w:ind w:left="97" w:right="90"/>
              <w:jc w:val="center"/>
              <w:rPr>
                <w:rFonts w:hint="eastAsia" w:ascii="黑体" w:eastAsia="黑体"/>
                <w:sz w:val="21"/>
              </w:rPr>
            </w:pPr>
            <w:r>
              <w:rPr>
                <w:rFonts w:hint="eastAsia" w:ascii="黑体" w:eastAsia="黑体"/>
                <w:sz w:val="21"/>
              </w:rPr>
              <w:t>序号</w:t>
            </w:r>
          </w:p>
        </w:tc>
        <w:tc>
          <w:tcPr>
            <w:tcW w:w="656" w:type="dxa"/>
            <w:vAlign w:val="top"/>
          </w:tcPr>
          <w:p>
            <w:pPr>
              <w:pStyle w:val="7"/>
              <w:spacing w:before="127"/>
              <w:ind w:left="116"/>
              <w:rPr>
                <w:rFonts w:hint="eastAsia" w:ascii="黑体" w:eastAsia="黑体"/>
                <w:sz w:val="21"/>
              </w:rPr>
            </w:pPr>
            <w:r>
              <w:rPr>
                <w:rFonts w:hint="eastAsia" w:ascii="黑体" w:eastAsia="黑体"/>
                <w:sz w:val="21"/>
              </w:rPr>
              <w:t>类别</w:t>
            </w:r>
          </w:p>
        </w:tc>
        <w:tc>
          <w:tcPr>
            <w:tcW w:w="711" w:type="dxa"/>
            <w:vAlign w:val="top"/>
          </w:tcPr>
          <w:p>
            <w:pPr>
              <w:pStyle w:val="7"/>
              <w:spacing w:before="127"/>
              <w:ind w:left="144"/>
              <w:rPr>
                <w:rFonts w:hint="eastAsia" w:ascii="黑体" w:eastAsia="黑体"/>
                <w:sz w:val="21"/>
              </w:rPr>
            </w:pPr>
            <w:r>
              <w:rPr>
                <w:rFonts w:hint="eastAsia" w:ascii="黑体" w:eastAsia="黑体"/>
                <w:sz w:val="21"/>
              </w:rPr>
              <w:t>项目</w:t>
            </w:r>
          </w:p>
        </w:tc>
        <w:tc>
          <w:tcPr>
            <w:tcW w:w="2145" w:type="dxa"/>
            <w:vAlign w:val="top"/>
          </w:tcPr>
          <w:p>
            <w:pPr>
              <w:pStyle w:val="7"/>
              <w:spacing w:before="127"/>
              <w:ind w:left="650"/>
              <w:rPr>
                <w:rFonts w:hint="eastAsia" w:ascii="黑体" w:eastAsia="黑体"/>
                <w:sz w:val="21"/>
              </w:rPr>
            </w:pPr>
            <w:r>
              <w:rPr>
                <w:rFonts w:hint="eastAsia" w:ascii="黑体" w:eastAsia="黑体"/>
                <w:sz w:val="21"/>
              </w:rPr>
              <w:t>检查内容</w:t>
            </w:r>
          </w:p>
        </w:tc>
        <w:tc>
          <w:tcPr>
            <w:tcW w:w="7306" w:type="dxa"/>
            <w:vAlign w:val="top"/>
          </w:tcPr>
          <w:p>
            <w:pPr>
              <w:pStyle w:val="7"/>
              <w:spacing w:before="127"/>
              <w:ind w:left="3212" w:right="3204"/>
              <w:jc w:val="center"/>
              <w:rPr>
                <w:rFonts w:hint="eastAsia" w:ascii="黑体" w:eastAsia="黑体"/>
                <w:sz w:val="21"/>
              </w:rPr>
            </w:pPr>
            <w:r>
              <w:rPr>
                <w:rFonts w:hint="eastAsia" w:ascii="黑体" w:eastAsia="黑体"/>
                <w:sz w:val="21"/>
              </w:rPr>
              <w:t>检查依据</w:t>
            </w:r>
          </w:p>
        </w:tc>
        <w:tc>
          <w:tcPr>
            <w:tcW w:w="2969" w:type="dxa"/>
            <w:vAlign w:val="top"/>
          </w:tcPr>
          <w:p>
            <w:pPr>
              <w:pStyle w:val="7"/>
              <w:spacing w:before="127"/>
              <w:ind w:left="537"/>
              <w:rPr>
                <w:rFonts w:hint="eastAsia" w:ascii="黑体" w:eastAsia="黑体"/>
                <w:sz w:val="21"/>
              </w:rPr>
            </w:pPr>
            <w:r>
              <w:rPr>
                <w:rFonts w:hint="eastAsia" w:ascii="黑体" w:eastAsia="黑体"/>
                <w:sz w:val="21"/>
              </w:rPr>
              <w:t>处罚依据和整改建议</w:t>
            </w:r>
          </w:p>
        </w:tc>
        <w:tc>
          <w:tcPr>
            <w:tcW w:w="774" w:type="dxa"/>
            <w:vAlign w:val="top"/>
          </w:tcPr>
          <w:p>
            <w:pPr>
              <w:pStyle w:val="7"/>
              <w:spacing w:before="127"/>
              <w:ind w:left="177"/>
              <w:rPr>
                <w:rFonts w:hint="eastAsia" w:ascii="黑体" w:eastAsia="黑体"/>
                <w:sz w:val="21"/>
              </w:rPr>
            </w:pPr>
            <w:r>
              <w:rPr>
                <w:rFonts w:hint="eastAsia" w:ascii="黑体" w:eastAsia="黑体"/>
                <w:sz w:val="21"/>
              </w:rPr>
              <w:t>备注</w:t>
            </w:r>
          </w:p>
        </w:tc>
      </w:tr>
      <w:tr>
        <w:trPr>
          <w:trHeight w:val="2819" w:hRule="atLeast"/>
        </w:trPr>
        <w:tc>
          <w:tcPr>
            <w:tcW w:w="657"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23"/>
              <w:ind w:left="6"/>
              <w:jc w:val="center"/>
              <w:rPr>
                <w:sz w:val="21"/>
              </w:rPr>
            </w:pPr>
            <w:r>
              <w:rPr>
                <w:w w:val="99"/>
                <w:sz w:val="21"/>
              </w:rPr>
              <w:t>5</w:t>
            </w:r>
          </w:p>
        </w:tc>
        <w:tc>
          <w:tcPr>
            <w:tcW w:w="656" w:type="dxa"/>
            <w:vMerge w:val="restart"/>
            <w:textDirection w:val="tbRl"/>
            <w:vAlign w:val="top"/>
          </w:tcPr>
          <w:p>
            <w:pPr>
              <w:pStyle w:val="7"/>
              <w:spacing w:before="34"/>
              <w:ind w:left="1685" w:right="1679"/>
              <w:jc w:val="center"/>
              <w:rPr>
                <w:rFonts w:hint="eastAsia" w:ascii="微软雅黑" w:eastAsia="微软雅黑"/>
                <w:b/>
                <w:sz w:val="21"/>
              </w:rPr>
            </w:pPr>
            <w:r>
              <w:rPr>
                <w:rFonts w:hint="eastAsia" w:ascii="微软雅黑" w:eastAsia="微软雅黑"/>
                <w:b/>
                <w:sz w:val="21"/>
              </w:rPr>
              <w:t>全 面 覆 盖 的 风 险 辨 识 分 级 管 控 机 制</w:t>
            </w:r>
          </w:p>
        </w:tc>
        <w:tc>
          <w:tcPr>
            <w:tcW w:w="711" w:type="dxa"/>
            <w:vMerge w:val="restart"/>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2"/>
              <w:rPr>
                <w:rFonts w:ascii="Times New Roman"/>
                <w:sz w:val="24"/>
              </w:rPr>
            </w:pPr>
          </w:p>
          <w:p>
            <w:pPr>
              <w:pStyle w:val="7"/>
              <w:spacing w:line="278" w:lineRule="auto"/>
              <w:ind w:left="108" w:right="172"/>
              <w:jc w:val="both"/>
              <w:rPr>
                <w:sz w:val="21"/>
              </w:rPr>
            </w:pPr>
            <w:r>
              <w:rPr>
                <w:sz w:val="21"/>
              </w:rPr>
              <w:t>风险点确定</w:t>
            </w:r>
          </w:p>
        </w:tc>
        <w:tc>
          <w:tcPr>
            <w:tcW w:w="2145" w:type="dxa"/>
            <w:vAlign w:val="top"/>
          </w:tcPr>
          <w:p>
            <w:pPr>
              <w:pStyle w:val="7"/>
              <w:rPr>
                <w:rFonts w:ascii="Times New Roman"/>
                <w:sz w:val="20"/>
              </w:rPr>
            </w:pPr>
          </w:p>
          <w:p>
            <w:pPr>
              <w:pStyle w:val="7"/>
              <w:rPr>
                <w:rFonts w:ascii="Times New Roman"/>
                <w:sz w:val="20"/>
              </w:rPr>
            </w:pPr>
          </w:p>
          <w:p>
            <w:pPr>
              <w:pStyle w:val="7"/>
              <w:spacing w:before="5"/>
              <w:rPr>
                <w:rFonts w:ascii="Times New Roman"/>
                <w:sz w:val="16"/>
              </w:rPr>
            </w:pPr>
          </w:p>
          <w:p>
            <w:pPr>
              <w:pStyle w:val="7"/>
              <w:spacing w:line="278" w:lineRule="auto"/>
              <w:ind w:left="108" w:right="97"/>
              <w:jc w:val="both"/>
              <w:rPr>
                <w:sz w:val="21"/>
              </w:rPr>
            </w:pPr>
            <w:r>
              <w:rPr>
                <w:sz w:val="21"/>
              </w:rPr>
              <w:t>建立作业活动清单， 清单覆盖企业生产经营过程中各类作业活动和工艺操作，且与企业实际相符。</w:t>
            </w:r>
          </w:p>
        </w:tc>
        <w:tc>
          <w:tcPr>
            <w:tcW w:w="7306" w:type="dxa"/>
            <w:vMerge w:val="restart"/>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9"/>
              <w:rPr>
                <w:rFonts w:ascii="Times New Roman"/>
                <w:sz w:val="27"/>
              </w:rPr>
            </w:pPr>
          </w:p>
          <w:p>
            <w:pPr>
              <w:pStyle w:val="7"/>
              <w:spacing w:line="278" w:lineRule="auto"/>
              <w:ind w:left="108" w:right="38" w:firstLine="314"/>
              <w:rPr>
                <w:sz w:val="21"/>
              </w:rPr>
            </w:pPr>
            <w:r>
              <w:rPr>
                <w:sz w:val="21"/>
              </w:rPr>
              <w:t>《条例》第 12 条 生产经营单位应当根据本单位实际和国家有关规定，制定安全生产规章制度和操作规程。</w:t>
            </w:r>
          </w:p>
          <w:p>
            <w:pPr>
              <w:pStyle w:val="7"/>
              <w:spacing w:line="278" w:lineRule="auto"/>
              <w:ind w:left="108" w:right="-15" w:firstLine="420"/>
              <w:rPr>
                <w:sz w:val="21"/>
              </w:rPr>
            </w:pPr>
            <w:r>
              <w:rPr>
                <w:spacing w:val="-7"/>
                <w:sz w:val="21"/>
              </w:rPr>
              <w:t>矿山、金属冶炼、建筑施工、道路运输单位和危险物品的生产、经营、储</w:t>
            </w:r>
            <w:r>
              <w:rPr>
                <w:spacing w:val="-8"/>
                <w:sz w:val="21"/>
              </w:rPr>
              <w:t>存、废弃处置以及使用危险物品的数量构成重大危险源的单位应当建立健全和</w:t>
            </w:r>
            <w:r>
              <w:rPr>
                <w:spacing w:val="-11"/>
                <w:sz w:val="21"/>
              </w:rPr>
              <w:t>实施以下安全生产规章制度：</w:t>
            </w:r>
            <w:r>
              <w:rPr>
                <w:spacing w:val="-39"/>
                <w:sz w:val="21"/>
              </w:rPr>
              <w:t>（</w:t>
            </w:r>
            <w:r>
              <w:rPr>
                <w:sz w:val="21"/>
              </w:rPr>
              <w:t>四</w:t>
            </w:r>
            <w:r>
              <w:rPr>
                <w:spacing w:val="-39"/>
                <w:sz w:val="21"/>
              </w:rPr>
              <w:t>）</w:t>
            </w:r>
            <w:r>
              <w:rPr>
                <w:spacing w:val="-6"/>
                <w:sz w:val="21"/>
              </w:rPr>
              <w:t>具有较大危险、有害因素的生产经营场所、设备和设施的安全管理制度;…</w:t>
            </w:r>
          </w:p>
          <w:p>
            <w:pPr>
              <w:pStyle w:val="7"/>
              <w:spacing w:line="278" w:lineRule="auto"/>
              <w:ind w:left="108" w:right="95" w:firstLine="420"/>
              <w:jc w:val="both"/>
              <w:rPr>
                <w:sz w:val="21"/>
              </w:rPr>
            </w:pPr>
            <w:r>
              <w:rPr>
                <w:spacing w:val="-9"/>
                <w:sz w:val="21"/>
              </w:rPr>
              <w:t xml:space="preserve">《办法》第 </w:t>
            </w:r>
            <w:r>
              <w:rPr>
                <w:sz w:val="21"/>
              </w:rPr>
              <w:t>7</w:t>
            </w:r>
            <w:r>
              <w:rPr>
                <w:spacing w:val="-5"/>
                <w:sz w:val="21"/>
              </w:rPr>
              <w:t xml:space="preserve"> 条 生产经营单位应当将风险管控纳入安全生产责任制，具</w:t>
            </w:r>
            <w:r>
              <w:rPr>
                <w:spacing w:val="-7"/>
                <w:w w:val="95"/>
                <w:sz w:val="21"/>
              </w:rPr>
              <w:t>体履行下列风险管控责任：…</w:t>
            </w:r>
            <w:r>
              <w:rPr>
                <w:spacing w:val="-8"/>
                <w:w w:val="95"/>
                <w:sz w:val="21"/>
              </w:rPr>
              <w:t>（</w:t>
            </w:r>
            <w:r>
              <w:rPr>
                <w:w w:val="95"/>
                <w:sz w:val="21"/>
              </w:rPr>
              <w:t>四</w:t>
            </w:r>
            <w:r>
              <w:rPr>
                <w:spacing w:val="-13"/>
                <w:w w:val="95"/>
                <w:sz w:val="21"/>
              </w:rPr>
              <w:t>）</w:t>
            </w:r>
            <w:r>
              <w:rPr>
                <w:spacing w:val="-2"/>
                <w:w w:val="95"/>
                <w:sz w:val="21"/>
              </w:rPr>
              <w:t xml:space="preserve">编制本单位风险管控清单，并建立预报预  </w:t>
            </w:r>
            <w:r>
              <w:rPr>
                <w:spacing w:val="-2"/>
                <w:sz w:val="21"/>
              </w:rPr>
              <w:t>警机制；…</w:t>
            </w:r>
          </w:p>
          <w:p>
            <w:pPr>
              <w:pStyle w:val="7"/>
              <w:spacing w:line="278" w:lineRule="auto"/>
              <w:ind w:left="108" w:right="95" w:firstLine="420"/>
              <w:jc w:val="both"/>
              <w:rPr>
                <w:sz w:val="21"/>
              </w:rPr>
            </w:pPr>
            <w:r>
              <w:rPr>
                <w:spacing w:val="-23"/>
                <w:sz w:val="21"/>
              </w:rPr>
              <w:t xml:space="preserve">第 </w:t>
            </w:r>
            <w:r>
              <w:rPr>
                <w:sz w:val="21"/>
              </w:rPr>
              <w:t>10</w:t>
            </w:r>
            <w:r>
              <w:rPr>
                <w:spacing w:val="-6"/>
                <w:sz w:val="21"/>
              </w:rPr>
              <w:t xml:space="preserve"> 条：生产经营单位应当根据风险辨识和分级结果，编制风险管控清</w:t>
            </w:r>
            <w:r>
              <w:rPr>
                <w:spacing w:val="-8"/>
                <w:w w:val="95"/>
                <w:sz w:val="21"/>
              </w:rPr>
              <w:t xml:space="preserve">单，实施风险分级管控。风险管控清单应当包括风险点名称、风险描述、可能  </w:t>
            </w:r>
            <w:r>
              <w:rPr>
                <w:spacing w:val="-10"/>
                <w:w w:val="95"/>
                <w:sz w:val="21"/>
              </w:rPr>
              <w:t xml:space="preserve">导致后果、风险等级、风险管控措施、管控层级、排查频次、责任部门和责任  </w:t>
            </w:r>
            <w:r>
              <w:rPr>
                <w:spacing w:val="-10"/>
                <w:sz w:val="21"/>
              </w:rPr>
              <w:t>人等内容。</w:t>
            </w:r>
          </w:p>
          <w:p>
            <w:pPr>
              <w:pStyle w:val="7"/>
              <w:spacing w:line="278" w:lineRule="auto"/>
              <w:ind w:left="108" w:right="97" w:firstLine="420"/>
              <w:rPr>
                <w:sz w:val="21"/>
              </w:rPr>
            </w:pPr>
            <w:r>
              <w:rPr>
                <w:spacing w:val="-4"/>
                <w:w w:val="95"/>
                <w:sz w:val="21"/>
              </w:rPr>
              <w:t xml:space="preserve">对重大风险应当编制专项应急预案，并建立包含风险部位、责任部门、责  </w:t>
            </w:r>
            <w:r>
              <w:rPr>
                <w:spacing w:val="-4"/>
                <w:sz w:val="21"/>
              </w:rPr>
              <w:t>任人、风险评估情况的档案，档案信息发生变化的应当及时更新完善。</w:t>
            </w:r>
          </w:p>
        </w:tc>
        <w:tc>
          <w:tcPr>
            <w:tcW w:w="2969" w:type="dxa"/>
            <w:vMerge w:val="restart"/>
            <w:vAlign w:val="top"/>
          </w:tcPr>
          <w:p>
            <w:pPr>
              <w:pStyle w:val="7"/>
              <w:rPr>
                <w:rFonts w:ascii="Times New Roman"/>
                <w:sz w:val="20"/>
              </w:rPr>
            </w:pPr>
          </w:p>
          <w:p>
            <w:pPr>
              <w:pStyle w:val="7"/>
              <w:rPr>
                <w:rFonts w:ascii="Times New Roman"/>
                <w:sz w:val="20"/>
              </w:rPr>
            </w:pPr>
          </w:p>
          <w:p>
            <w:pPr>
              <w:pStyle w:val="7"/>
              <w:spacing w:before="156" w:line="278" w:lineRule="auto"/>
              <w:ind w:left="108" w:right="95" w:firstLine="208"/>
              <w:jc w:val="both"/>
              <w:rPr>
                <w:sz w:val="21"/>
              </w:rPr>
            </w:pPr>
            <w:r>
              <w:rPr>
                <w:spacing w:val="-14"/>
                <w:sz w:val="21"/>
              </w:rPr>
              <w:t xml:space="preserve">《条例》第 </w:t>
            </w:r>
            <w:r>
              <w:rPr>
                <w:sz w:val="21"/>
              </w:rPr>
              <w:t>61</w:t>
            </w:r>
            <w:r>
              <w:rPr>
                <w:spacing w:val="-28"/>
                <w:sz w:val="21"/>
              </w:rPr>
              <w:t xml:space="preserve"> 条：</w:t>
            </w:r>
            <w:r>
              <w:rPr>
                <w:spacing w:val="-27"/>
                <w:sz w:val="21"/>
              </w:rPr>
              <w:t>（</w:t>
            </w:r>
            <w:r>
              <w:rPr>
                <w:spacing w:val="-4"/>
                <w:sz w:val="21"/>
              </w:rPr>
              <w:t>未实施</w:t>
            </w:r>
            <w:r>
              <w:rPr>
                <w:sz w:val="21"/>
              </w:rPr>
              <w:t>安全生产风险管控制度）</w:t>
            </w:r>
            <w:r>
              <w:rPr>
                <w:spacing w:val="-5"/>
                <w:sz w:val="21"/>
              </w:rPr>
              <w:t>责令</w:t>
            </w:r>
            <w:r>
              <w:rPr>
                <w:spacing w:val="-1"/>
                <w:sz w:val="21"/>
              </w:rPr>
              <w:t>限期改正，可以处一万元以上十万元以下的罚款；逾期未改正的，责令停产停业整顿，并处十万元以上二十万元以下的罚款，对其直接负责的主管人员和其他直接责任人员处二万元以上五万元以下的罚款；构成犯罪的，依照刑法有关规定</w:t>
            </w:r>
            <w:r>
              <w:rPr>
                <w:sz w:val="21"/>
              </w:rPr>
              <w:t>追究刑事责任。</w:t>
            </w:r>
          </w:p>
          <w:p>
            <w:pPr>
              <w:pStyle w:val="7"/>
              <w:spacing w:line="278" w:lineRule="auto"/>
              <w:ind w:left="108" w:right="95" w:firstLine="208"/>
              <w:jc w:val="both"/>
              <w:rPr>
                <w:sz w:val="21"/>
              </w:rPr>
            </w:pPr>
            <w:r>
              <w:rPr>
                <w:spacing w:val="-17"/>
                <w:sz w:val="21"/>
              </w:rPr>
              <w:t xml:space="preserve">《办法》第 </w:t>
            </w:r>
            <w:r>
              <w:rPr>
                <w:sz w:val="21"/>
              </w:rPr>
              <w:t>28</w:t>
            </w:r>
            <w:r>
              <w:rPr>
                <w:spacing w:val="-17"/>
                <w:sz w:val="21"/>
              </w:rPr>
              <w:t xml:space="preserve"> 条：未按照本</w:t>
            </w:r>
            <w:r>
              <w:rPr>
                <w:spacing w:val="-1"/>
                <w:sz w:val="21"/>
              </w:rPr>
              <w:t>办法第十条规定编制风险管控清单的：责令限期改正，可以处一万元以上五万元以下的罚款；逾期未改正的，处五万元以上十万元以下的罚款，对其直接负责的主管人员和其他直接责任人员处一万元以上二万</w:t>
            </w:r>
            <w:r>
              <w:rPr>
                <w:sz w:val="21"/>
              </w:rPr>
              <w:t>元以下的罚款。</w:t>
            </w:r>
          </w:p>
        </w:tc>
        <w:tc>
          <w:tcPr>
            <w:tcW w:w="774" w:type="dxa"/>
            <w:vAlign w:val="top"/>
          </w:tcPr>
          <w:p>
            <w:pPr>
              <w:pStyle w:val="7"/>
              <w:rPr>
                <w:rFonts w:ascii="Times New Roman"/>
                <w:sz w:val="20"/>
              </w:rPr>
            </w:pPr>
          </w:p>
        </w:tc>
      </w:tr>
      <w:tr>
        <w:trPr>
          <w:trHeight w:val="4601" w:hRule="atLeast"/>
        </w:trPr>
        <w:tc>
          <w:tcPr>
            <w:tcW w:w="657"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5"/>
              <w:rPr>
                <w:rFonts w:ascii="Times New Roman"/>
                <w:sz w:val="28"/>
              </w:rPr>
            </w:pPr>
          </w:p>
          <w:p>
            <w:pPr>
              <w:pStyle w:val="7"/>
              <w:ind w:left="6"/>
              <w:jc w:val="center"/>
              <w:rPr>
                <w:sz w:val="21"/>
              </w:rPr>
            </w:pPr>
            <w:r>
              <w:rPr>
                <w:w w:val="99"/>
                <w:sz w:val="21"/>
              </w:rPr>
              <w:t>6</w:t>
            </w:r>
          </w:p>
        </w:tc>
        <w:tc>
          <w:tcPr>
            <w:tcW w:w="656" w:type="dxa"/>
            <w:vMerge w:val="continue"/>
            <w:tcBorders>
              <w:top w:val="nil"/>
            </w:tcBorders>
            <w:textDirection w:val="tbRl"/>
            <w:vAlign w:val="top"/>
          </w:tcPr>
          <w:p>
            <w:pPr>
              <w:rPr>
                <w:sz w:val="2"/>
                <w:szCs w:val="2"/>
              </w:rPr>
            </w:pPr>
          </w:p>
        </w:tc>
        <w:tc>
          <w:tcPr>
            <w:tcW w:w="711" w:type="dxa"/>
            <w:vMerge w:val="continue"/>
            <w:tcBorders>
              <w:top w:val="nil"/>
            </w:tcBorders>
            <w:vAlign w:val="top"/>
          </w:tcPr>
          <w:p>
            <w:pPr>
              <w:rPr>
                <w:sz w:val="2"/>
                <w:szCs w:val="2"/>
              </w:rPr>
            </w:pPr>
          </w:p>
        </w:tc>
        <w:tc>
          <w:tcPr>
            <w:tcW w:w="2145"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63" w:line="278" w:lineRule="auto"/>
              <w:ind w:left="108" w:right="97"/>
              <w:jc w:val="both"/>
              <w:rPr>
                <w:sz w:val="21"/>
              </w:rPr>
            </w:pPr>
            <w:r>
              <w:rPr>
                <w:sz w:val="21"/>
              </w:rPr>
              <w:t>建立设备设施清单， 清单覆盖企业生产经营过程涉及的设施、部位、场所、区域， 且与企业实际相符。</w:t>
            </w:r>
          </w:p>
        </w:tc>
        <w:tc>
          <w:tcPr>
            <w:tcW w:w="7306" w:type="dxa"/>
            <w:vMerge w:val="continue"/>
            <w:tcBorders>
              <w:top w:val="nil"/>
            </w:tcBorders>
            <w:vAlign w:val="top"/>
          </w:tcPr>
          <w:p>
            <w:pPr>
              <w:rPr>
                <w:sz w:val="2"/>
                <w:szCs w:val="2"/>
              </w:rPr>
            </w:pPr>
          </w:p>
        </w:tc>
        <w:tc>
          <w:tcPr>
            <w:tcW w:w="2969" w:type="dxa"/>
            <w:vMerge w:val="continue"/>
            <w:tcBorders>
              <w:top w:val="nil"/>
            </w:tcBorders>
            <w:vAlign w:val="top"/>
          </w:tcPr>
          <w:p>
            <w:pPr>
              <w:rPr>
                <w:sz w:val="2"/>
                <w:szCs w:val="2"/>
              </w:rPr>
            </w:pPr>
          </w:p>
        </w:tc>
        <w:tc>
          <w:tcPr>
            <w:tcW w:w="774" w:type="dxa"/>
            <w:vAlign w:val="top"/>
          </w:tcPr>
          <w:p>
            <w:pPr>
              <w:pStyle w:val="7"/>
              <w:rPr>
                <w:rFonts w:ascii="Times New Roman"/>
                <w:sz w:val="20"/>
              </w:rPr>
            </w:pPr>
          </w:p>
        </w:tc>
      </w:tr>
    </w:tbl>
    <w:p>
      <w:pPr>
        <w:spacing w:after="0"/>
        <w:rPr>
          <w:rFonts w:ascii="Times New Roman"/>
          <w:sz w:val="20"/>
        </w:rPr>
        <w:sectPr>
          <w:footerReference r:id="rId5" w:type="default"/>
          <w:pgSz w:w="16840" w:h="11910" w:orient="landscape"/>
          <w:pgMar w:top="1100" w:right="700" w:bottom="1100" w:left="700" w:header="0" w:footer="907" w:gutter="0"/>
          <w:pgNumType w:start="1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W w:w="15218"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7"/>
        <w:gridCol w:w="656"/>
        <w:gridCol w:w="711"/>
        <w:gridCol w:w="2145"/>
        <w:gridCol w:w="7306"/>
        <w:gridCol w:w="2969"/>
        <w:gridCol w:w="774"/>
      </w:tblGrid>
      <w:tr>
        <w:trPr>
          <w:trHeight w:val="523" w:hRule="atLeast"/>
        </w:trPr>
        <w:tc>
          <w:tcPr>
            <w:tcW w:w="657" w:type="dxa"/>
            <w:vAlign w:val="top"/>
          </w:tcPr>
          <w:p>
            <w:pPr>
              <w:pStyle w:val="7"/>
              <w:spacing w:before="127"/>
              <w:ind w:left="97" w:right="90"/>
              <w:jc w:val="center"/>
              <w:rPr>
                <w:rFonts w:hint="eastAsia" w:ascii="黑体" w:eastAsia="黑体"/>
                <w:sz w:val="21"/>
              </w:rPr>
            </w:pPr>
            <w:r>
              <w:rPr>
                <w:rFonts w:hint="eastAsia" w:ascii="黑体" w:eastAsia="黑体"/>
                <w:sz w:val="21"/>
              </w:rPr>
              <w:t>序号</w:t>
            </w:r>
          </w:p>
        </w:tc>
        <w:tc>
          <w:tcPr>
            <w:tcW w:w="656" w:type="dxa"/>
            <w:vAlign w:val="top"/>
          </w:tcPr>
          <w:p>
            <w:pPr>
              <w:pStyle w:val="7"/>
              <w:spacing w:before="127"/>
              <w:ind w:left="116"/>
              <w:rPr>
                <w:rFonts w:hint="eastAsia" w:ascii="黑体" w:eastAsia="黑体"/>
                <w:sz w:val="21"/>
              </w:rPr>
            </w:pPr>
            <w:r>
              <w:rPr>
                <w:rFonts w:hint="eastAsia" w:ascii="黑体" w:eastAsia="黑体"/>
                <w:sz w:val="21"/>
              </w:rPr>
              <w:t>类别</w:t>
            </w:r>
          </w:p>
        </w:tc>
        <w:tc>
          <w:tcPr>
            <w:tcW w:w="711" w:type="dxa"/>
            <w:vAlign w:val="top"/>
          </w:tcPr>
          <w:p>
            <w:pPr>
              <w:pStyle w:val="7"/>
              <w:spacing w:before="127"/>
              <w:ind w:left="144"/>
              <w:rPr>
                <w:rFonts w:hint="eastAsia" w:ascii="黑体" w:eastAsia="黑体"/>
                <w:sz w:val="21"/>
              </w:rPr>
            </w:pPr>
            <w:r>
              <w:rPr>
                <w:rFonts w:hint="eastAsia" w:ascii="黑体" w:eastAsia="黑体"/>
                <w:sz w:val="21"/>
              </w:rPr>
              <w:t>项目</w:t>
            </w:r>
          </w:p>
        </w:tc>
        <w:tc>
          <w:tcPr>
            <w:tcW w:w="2145" w:type="dxa"/>
            <w:vAlign w:val="top"/>
          </w:tcPr>
          <w:p>
            <w:pPr>
              <w:pStyle w:val="7"/>
              <w:spacing w:before="127"/>
              <w:ind w:left="650"/>
              <w:rPr>
                <w:rFonts w:hint="eastAsia" w:ascii="黑体" w:eastAsia="黑体"/>
                <w:sz w:val="21"/>
              </w:rPr>
            </w:pPr>
            <w:r>
              <w:rPr>
                <w:rFonts w:hint="eastAsia" w:ascii="黑体" w:eastAsia="黑体"/>
                <w:sz w:val="21"/>
              </w:rPr>
              <w:t>检查内容</w:t>
            </w:r>
          </w:p>
        </w:tc>
        <w:tc>
          <w:tcPr>
            <w:tcW w:w="7306" w:type="dxa"/>
            <w:vAlign w:val="top"/>
          </w:tcPr>
          <w:p>
            <w:pPr>
              <w:pStyle w:val="7"/>
              <w:spacing w:before="127"/>
              <w:ind w:left="3212" w:right="3204"/>
              <w:jc w:val="center"/>
              <w:rPr>
                <w:rFonts w:hint="eastAsia" w:ascii="黑体" w:eastAsia="黑体"/>
                <w:sz w:val="21"/>
              </w:rPr>
            </w:pPr>
            <w:r>
              <w:rPr>
                <w:rFonts w:hint="eastAsia" w:ascii="黑体" w:eastAsia="黑体"/>
                <w:sz w:val="21"/>
              </w:rPr>
              <w:t>检查依据</w:t>
            </w:r>
          </w:p>
        </w:tc>
        <w:tc>
          <w:tcPr>
            <w:tcW w:w="2969" w:type="dxa"/>
            <w:vAlign w:val="top"/>
          </w:tcPr>
          <w:p>
            <w:pPr>
              <w:pStyle w:val="7"/>
              <w:spacing w:before="127"/>
              <w:ind w:left="537"/>
              <w:rPr>
                <w:rFonts w:hint="eastAsia" w:ascii="黑体" w:eastAsia="黑体"/>
                <w:sz w:val="21"/>
              </w:rPr>
            </w:pPr>
            <w:r>
              <w:rPr>
                <w:rFonts w:hint="eastAsia" w:ascii="黑体" w:eastAsia="黑体"/>
                <w:sz w:val="21"/>
              </w:rPr>
              <w:t>处罚依据和整改建议</w:t>
            </w:r>
          </w:p>
        </w:tc>
        <w:tc>
          <w:tcPr>
            <w:tcW w:w="774" w:type="dxa"/>
            <w:vAlign w:val="top"/>
          </w:tcPr>
          <w:p>
            <w:pPr>
              <w:pStyle w:val="7"/>
              <w:spacing w:before="127"/>
              <w:ind w:left="177"/>
              <w:rPr>
                <w:rFonts w:hint="eastAsia" w:ascii="黑体" w:eastAsia="黑体"/>
                <w:sz w:val="21"/>
              </w:rPr>
            </w:pPr>
            <w:r>
              <w:rPr>
                <w:rFonts w:hint="eastAsia" w:ascii="黑体" w:eastAsia="黑体"/>
                <w:sz w:val="21"/>
              </w:rPr>
              <w:t>备注</w:t>
            </w:r>
          </w:p>
        </w:tc>
      </w:tr>
      <w:tr>
        <w:trPr>
          <w:trHeight w:val="2608" w:hRule="atLeast"/>
        </w:trPr>
        <w:tc>
          <w:tcPr>
            <w:tcW w:w="657"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6"/>
              <w:rPr>
                <w:rFonts w:ascii="Times New Roman"/>
                <w:sz w:val="21"/>
              </w:rPr>
            </w:pPr>
          </w:p>
          <w:p>
            <w:pPr>
              <w:pStyle w:val="7"/>
              <w:ind w:left="6"/>
              <w:jc w:val="center"/>
              <w:rPr>
                <w:sz w:val="21"/>
              </w:rPr>
            </w:pPr>
            <w:r>
              <w:rPr>
                <w:w w:val="99"/>
                <w:sz w:val="21"/>
              </w:rPr>
              <w:t>7</w:t>
            </w:r>
          </w:p>
        </w:tc>
        <w:tc>
          <w:tcPr>
            <w:tcW w:w="656" w:type="dxa"/>
            <w:vMerge w:val="restart"/>
            <w:textDirection w:val="tbRl"/>
            <w:vAlign w:val="top"/>
          </w:tcPr>
          <w:p>
            <w:pPr>
              <w:pStyle w:val="7"/>
              <w:spacing w:before="34"/>
              <w:ind w:left="1684" w:right="1677"/>
              <w:jc w:val="center"/>
              <w:rPr>
                <w:rFonts w:hint="eastAsia" w:ascii="微软雅黑" w:eastAsia="微软雅黑"/>
                <w:b/>
                <w:sz w:val="21"/>
              </w:rPr>
            </w:pPr>
            <w:r>
              <w:rPr>
                <w:rFonts w:hint="eastAsia" w:ascii="微软雅黑" w:eastAsia="微软雅黑"/>
                <w:b/>
                <w:sz w:val="21"/>
              </w:rPr>
              <w:t>全 面 覆 盖 的 风 险 辨 识 分 级 管 控 机 制</w:t>
            </w:r>
          </w:p>
        </w:tc>
        <w:tc>
          <w:tcPr>
            <w:tcW w:w="711" w:type="dxa"/>
            <w:vMerge w:val="restart"/>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2"/>
              <w:rPr>
                <w:rFonts w:ascii="Times New Roman"/>
                <w:sz w:val="24"/>
              </w:rPr>
            </w:pPr>
          </w:p>
          <w:p>
            <w:pPr>
              <w:pStyle w:val="7"/>
              <w:spacing w:line="278" w:lineRule="auto"/>
              <w:ind w:left="108" w:right="95"/>
              <w:jc w:val="both"/>
              <w:rPr>
                <w:sz w:val="21"/>
              </w:rPr>
            </w:pPr>
            <w:r>
              <w:rPr>
                <w:spacing w:val="-16"/>
                <w:sz w:val="21"/>
              </w:rPr>
              <w:t>危 险源 辨</w:t>
            </w:r>
            <w:r>
              <w:rPr>
                <w:sz w:val="21"/>
              </w:rPr>
              <w:t>识</w:t>
            </w:r>
          </w:p>
        </w:tc>
        <w:tc>
          <w:tcPr>
            <w:tcW w:w="2145" w:type="dxa"/>
            <w:vAlign w:val="top"/>
          </w:tcPr>
          <w:p>
            <w:pPr>
              <w:pStyle w:val="7"/>
              <w:rPr>
                <w:rFonts w:ascii="Times New Roman"/>
                <w:sz w:val="20"/>
              </w:rPr>
            </w:pPr>
          </w:p>
          <w:p>
            <w:pPr>
              <w:pStyle w:val="7"/>
              <w:spacing w:before="3"/>
              <w:rPr>
                <w:rFonts w:ascii="Times New Roman"/>
                <w:sz w:val="27"/>
              </w:rPr>
            </w:pPr>
          </w:p>
          <w:p>
            <w:pPr>
              <w:pStyle w:val="7"/>
              <w:spacing w:line="278" w:lineRule="auto"/>
              <w:ind w:left="108" w:right="97"/>
              <w:jc w:val="both"/>
              <w:rPr>
                <w:sz w:val="21"/>
              </w:rPr>
            </w:pPr>
            <w:r>
              <w:rPr>
                <w:sz w:val="21"/>
              </w:rPr>
              <w:t>应组织相关部门、班组、岗位人员针对作业活动清单、设备设施清单逐个进行危险源辨识、分析。</w:t>
            </w:r>
          </w:p>
        </w:tc>
        <w:tc>
          <w:tcPr>
            <w:tcW w:w="7306" w:type="dxa"/>
            <w:vMerge w:val="restart"/>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4"/>
              <w:rPr>
                <w:rFonts w:ascii="Times New Roman"/>
                <w:sz w:val="16"/>
              </w:rPr>
            </w:pPr>
          </w:p>
          <w:p>
            <w:pPr>
              <w:pStyle w:val="7"/>
              <w:tabs>
                <w:tab w:val="left" w:pos="2052"/>
              </w:tabs>
              <w:ind w:left="528"/>
              <w:rPr>
                <w:sz w:val="21"/>
              </w:rPr>
            </w:pPr>
            <w:r>
              <w:rPr>
                <w:sz w:val="21"/>
              </w:rPr>
              <w:t>《办法</w:t>
            </w:r>
            <w:r>
              <w:rPr>
                <w:spacing w:val="-104"/>
                <w:sz w:val="21"/>
              </w:rPr>
              <w:t>》</w:t>
            </w:r>
            <w:r>
              <w:rPr>
                <w:spacing w:val="28"/>
                <w:sz w:val="21"/>
              </w:rPr>
              <w:t>第</w:t>
            </w:r>
            <w:r>
              <w:rPr>
                <w:sz w:val="21"/>
              </w:rPr>
              <w:t>8</w:t>
            </w:r>
            <w:r>
              <w:rPr>
                <w:spacing w:val="-80"/>
                <w:sz w:val="21"/>
              </w:rPr>
              <w:t xml:space="preserve"> </w:t>
            </w:r>
            <w:r>
              <w:rPr>
                <w:sz w:val="21"/>
              </w:rPr>
              <w:t>条</w:t>
            </w:r>
            <w:r>
              <w:rPr>
                <w:sz w:val="21"/>
              </w:rPr>
              <w:tab/>
            </w:r>
            <w:r>
              <w:rPr>
                <w:sz w:val="21"/>
              </w:rPr>
              <w:t>生产经营单位应当针对下列内容开展全面安全风险辨识:</w:t>
            </w:r>
          </w:p>
          <w:p>
            <w:pPr>
              <w:pStyle w:val="7"/>
              <w:spacing w:before="43" w:line="278" w:lineRule="auto"/>
              <w:ind w:left="108" w:right="-15"/>
              <w:rPr>
                <w:sz w:val="21"/>
              </w:rPr>
            </w:pPr>
            <w:r>
              <w:rPr>
                <w:sz w:val="21"/>
              </w:rPr>
              <w:t>（一</w:t>
            </w:r>
            <w:r>
              <w:rPr>
                <w:spacing w:val="-8"/>
                <w:sz w:val="21"/>
              </w:rPr>
              <w:t>）</w:t>
            </w:r>
            <w:r>
              <w:rPr>
                <w:spacing w:val="-1"/>
                <w:sz w:val="21"/>
              </w:rPr>
              <w:t>生产工艺和生产技术；</w:t>
            </w:r>
            <w:r>
              <w:rPr>
                <w:spacing w:val="-8"/>
                <w:sz w:val="21"/>
              </w:rPr>
              <w:t>（</w:t>
            </w:r>
            <w:r>
              <w:rPr>
                <w:sz w:val="21"/>
              </w:rPr>
              <w:t>二</w:t>
            </w:r>
            <w:r>
              <w:rPr>
                <w:spacing w:val="-8"/>
                <w:sz w:val="21"/>
              </w:rPr>
              <w:t>）</w:t>
            </w:r>
            <w:r>
              <w:rPr>
                <w:spacing w:val="-2"/>
                <w:sz w:val="21"/>
              </w:rPr>
              <w:t>普通设备设施和特种设备，能源隔离、机</w:t>
            </w:r>
            <w:r>
              <w:rPr>
                <w:spacing w:val="-4"/>
                <w:w w:val="95"/>
                <w:sz w:val="21"/>
              </w:rPr>
              <w:t>械防护等涉及安全生产的设备设施及其检验检测情况；</w:t>
            </w:r>
            <w:r>
              <w:rPr>
                <w:spacing w:val="-38"/>
                <w:w w:val="95"/>
                <w:sz w:val="21"/>
              </w:rPr>
              <w:t>（</w:t>
            </w:r>
            <w:r>
              <w:rPr>
                <w:w w:val="95"/>
                <w:sz w:val="21"/>
              </w:rPr>
              <w:t>三</w:t>
            </w:r>
            <w:r>
              <w:rPr>
                <w:spacing w:val="-37"/>
                <w:w w:val="95"/>
                <w:sz w:val="21"/>
              </w:rPr>
              <w:t>）</w:t>
            </w:r>
            <w:r>
              <w:rPr>
                <w:spacing w:val="-6"/>
                <w:w w:val="95"/>
                <w:sz w:val="21"/>
              </w:rPr>
              <w:t xml:space="preserve">建筑物、构筑物、  </w:t>
            </w:r>
            <w:r>
              <w:rPr>
                <w:spacing w:val="-9"/>
                <w:sz w:val="21"/>
              </w:rPr>
              <w:t>易燃易爆和有毒有害生产经营环境，以及与生产经营相关相邻的作业环境、场所和气象条件；（四）从业人员的健康状况、安全防护状况和安全作业行为；</w:t>
            </w:r>
          </w:p>
          <w:p>
            <w:pPr>
              <w:pStyle w:val="7"/>
              <w:spacing w:line="278" w:lineRule="auto"/>
              <w:ind w:left="108" w:right="97"/>
              <w:rPr>
                <w:sz w:val="21"/>
              </w:rPr>
            </w:pPr>
            <w:r>
              <w:rPr>
                <w:w w:val="95"/>
                <w:sz w:val="21"/>
              </w:rPr>
              <w:t>（五</w:t>
            </w:r>
            <w:r>
              <w:rPr>
                <w:spacing w:val="-10"/>
                <w:w w:val="95"/>
                <w:sz w:val="21"/>
              </w:rPr>
              <w:t>）</w:t>
            </w:r>
            <w:r>
              <w:rPr>
                <w:spacing w:val="-4"/>
                <w:w w:val="95"/>
                <w:sz w:val="21"/>
              </w:rPr>
              <w:t xml:space="preserve">安全生产责任制、操作规程、教育培训、现场作业、应急救援等安全生  </w:t>
            </w:r>
            <w:r>
              <w:rPr>
                <w:spacing w:val="-4"/>
                <w:sz w:val="21"/>
              </w:rPr>
              <w:t>产管理制度的制定和落实情况；（六）其他可能产生安全风险的因素。</w:t>
            </w:r>
          </w:p>
        </w:tc>
        <w:tc>
          <w:tcPr>
            <w:tcW w:w="2969" w:type="dxa"/>
            <w:vMerge w:val="restart"/>
            <w:vAlign w:val="top"/>
          </w:tcPr>
          <w:p>
            <w:pPr>
              <w:pStyle w:val="7"/>
              <w:rPr>
                <w:rFonts w:ascii="Times New Roman"/>
                <w:sz w:val="20"/>
              </w:rPr>
            </w:pPr>
          </w:p>
          <w:p>
            <w:pPr>
              <w:pStyle w:val="7"/>
              <w:rPr>
                <w:rFonts w:ascii="Times New Roman"/>
                <w:sz w:val="20"/>
              </w:rPr>
            </w:pPr>
          </w:p>
          <w:p>
            <w:pPr>
              <w:pStyle w:val="7"/>
              <w:spacing w:before="1"/>
              <w:rPr>
                <w:rFonts w:ascii="Times New Roman"/>
                <w:sz w:val="27"/>
              </w:rPr>
            </w:pPr>
          </w:p>
          <w:p>
            <w:pPr>
              <w:pStyle w:val="7"/>
              <w:ind w:left="317" w:right="-15"/>
              <w:rPr>
                <w:sz w:val="21"/>
              </w:rPr>
            </w:pPr>
            <w:r>
              <w:rPr>
                <w:spacing w:val="-10"/>
                <w:sz w:val="21"/>
              </w:rPr>
              <w:t>《条例》第六十一条第三项：</w:t>
            </w:r>
          </w:p>
          <w:p>
            <w:pPr>
              <w:pStyle w:val="7"/>
              <w:spacing w:before="43" w:line="278" w:lineRule="auto"/>
              <w:ind w:left="108" w:right="95"/>
              <w:jc w:val="both"/>
              <w:rPr>
                <w:sz w:val="21"/>
              </w:rPr>
            </w:pPr>
            <w:r>
              <w:rPr>
                <w:sz w:val="21"/>
              </w:rPr>
              <w:t>（未实施安全生产风险管控制度）责令限期改正，可以处一万元以上十万元以下的罚款； 逾期未改正的，责令停产停业整顿，并处十万元以上二十万元以下的罚款，对其直接负责的主管人员和其他直接责任人员处二万元以上五万元以下的罚款；构成犯罪的，依照刑法有关规定追究刑事责任。</w:t>
            </w:r>
          </w:p>
          <w:p>
            <w:pPr>
              <w:pStyle w:val="7"/>
              <w:spacing w:line="278" w:lineRule="auto"/>
              <w:ind w:left="108" w:right="95" w:firstLine="208"/>
              <w:jc w:val="both"/>
              <w:rPr>
                <w:sz w:val="21"/>
              </w:rPr>
            </w:pPr>
            <w:r>
              <w:rPr>
                <w:spacing w:val="-17"/>
                <w:sz w:val="21"/>
              </w:rPr>
              <w:t xml:space="preserve">《办法》第 </w:t>
            </w:r>
            <w:r>
              <w:rPr>
                <w:sz w:val="21"/>
              </w:rPr>
              <w:t>29</w:t>
            </w:r>
            <w:r>
              <w:rPr>
                <w:spacing w:val="-47"/>
                <w:sz w:val="21"/>
              </w:rPr>
              <w:t xml:space="preserve"> 条</w:t>
            </w:r>
            <w:r>
              <w:rPr>
                <w:sz w:val="21"/>
              </w:rPr>
              <w:t>（</w:t>
            </w:r>
            <w:r>
              <w:rPr>
                <w:spacing w:val="-3"/>
                <w:sz w:val="21"/>
              </w:rPr>
              <w:t>未实施风</w:t>
            </w:r>
            <w:r>
              <w:rPr>
                <w:sz w:val="21"/>
              </w:rPr>
              <w:t>险管控制度的）：</w:t>
            </w:r>
            <w:r>
              <w:rPr>
                <w:spacing w:val="-2"/>
                <w:sz w:val="21"/>
              </w:rPr>
              <w:t>责令限期改</w:t>
            </w:r>
            <w:r>
              <w:rPr>
                <w:spacing w:val="-1"/>
                <w:sz w:val="21"/>
              </w:rPr>
              <w:t>正，可以处一万元以上十万元以下的罚款；逾期未改正的， 处十万元以上二十万元以下的罚款，对其直接负责的主管人员和其他直接责任人员处二万</w:t>
            </w:r>
            <w:r>
              <w:rPr>
                <w:sz w:val="21"/>
              </w:rPr>
              <w:t>元以上五万元以下的罚款；…</w:t>
            </w:r>
          </w:p>
        </w:tc>
        <w:tc>
          <w:tcPr>
            <w:tcW w:w="774" w:type="dxa"/>
            <w:vAlign w:val="top"/>
          </w:tcPr>
          <w:p>
            <w:pPr>
              <w:pStyle w:val="7"/>
              <w:rPr>
                <w:rFonts w:ascii="Times New Roman"/>
                <w:sz w:val="20"/>
              </w:rPr>
            </w:pPr>
          </w:p>
        </w:tc>
      </w:tr>
      <w:tr>
        <w:trPr>
          <w:trHeight w:val="4810" w:hRule="atLeast"/>
        </w:trPr>
        <w:tc>
          <w:tcPr>
            <w:tcW w:w="657"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4"/>
              <w:rPr>
                <w:rFonts w:ascii="Times New Roman"/>
                <w:sz w:val="17"/>
              </w:rPr>
            </w:pPr>
          </w:p>
          <w:p>
            <w:pPr>
              <w:pStyle w:val="7"/>
              <w:ind w:left="6"/>
              <w:jc w:val="center"/>
              <w:rPr>
                <w:sz w:val="21"/>
              </w:rPr>
            </w:pPr>
            <w:r>
              <w:rPr>
                <w:w w:val="99"/>
                <w:sz w:val="21"/>
              </w:rPr>
              <w:t>8</w:t>
            </w:r>
          </w:p>
        </w:tc>
        <w:tc>
          <w:tcPr>
            <w:tcW w:w="656" w:type="dxa"/>
            <w:vMerge w:val="continue"/>
            <w:tcBorders>
              <w:top w:val="nil"/>
            </w:tcBorders>
            <w:textDirection w:val="tbRl"/>
            <w:vAlign w:val="top"/>
          </w:tcPr>
          <w:p>
            <w:pPr>
              <w:rPr>
                <w:sz w:val="2"/>
                <w:szCs w:val="2"/>
              </w:rPr>
            </w:pPr>
          </w:p>
        </w:tc>
        <w:tc>
          <w:tcPr>
            <w:tcW w:w="711" w:type="dxa"/>
            <w:vMerge w:val="continue"/>
            <w:tcBorders>
              <w:top w:val="nil"/>
            </w:tcBorders>
            <w:vAlign w:val="top"/>
          </w:tcPr>
          <w:p>
            <w:pPr>
              <w:rPr>
                <w:sz w:val="2"/>
                <w:szCs w:val="2"/>
              </w:rPr>
            </w:pPr>
          </w:p>
        </w:tc>
        <w:tc>
          <w:tcPr>
            <w:tcW w:w="2145"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5"/>
              <w:rPr>
                <w:rFonts w:ascii="Times New Roman"/>
                <w:sz w:val="22"/>
              </w:rPr>
            </w:pPr>
          </w:p>
          <w:p>
            <w:pPr>
              <w:pStyle w:val="7"/>
              <w:spacing w:line="278" w:lineRule="auto"/>
              <w:ind w:left="108" w:right="-15"/>
              <w:rPr>
                <w:sz w:val="21"/>
              </w:rPr>
            </w:pPr>
            <w:r>
              <w:rPr>
                <w:spacing w:val="3"/>
                <w:sz w:val="21"/>
              </w:rPr>
              <w:t>危险源辨识应包括全</w:t>
            </w:r>
            <w:r>
              <w:rPr>
                <w:spacing w:val="-9"/>
                <w:sz w:val="21"/>
              </w:rPr>
              <w:t>员、全过程、全方位、</w:t>
            </w:r>
            <w:r>
              <w:rPr>
                <w:spacing w:val="3"/>
                <w:sz w:val="21"/>
              </w:rPr>
              <w:t>全覆盖，现有管控措施应有效安全，描述应具有针对性，设备设施危险源辨识应重</w:t>
            </w:r>
            <w:r>
              <w:rPr>
                <w:spacing w:val="30"/>
                <w:sz w:val="21"/>
              </w:rPr>
              <w:t>点考虑根源性危险源。</w:t>
            </w:r>
          </w:p>
        </w:tc>
        <w:tc>
          <w:tcPr>
            <w:tcW w:w="7306" w:type="dxa"/>
            <w:vMerge w:val="continue"/>
            <w:tcBorders>
              <w:top w:val="nil"/>
            </w:tcBorders>
            <w:vAlign w:val="top"/>
          </w:tcPr>
          <w:p>
            <w:pPr>
              <w:rPr>
                <w:sz w:val="2"/>
                <w:szCs w:val="2"/>
              </w:rPr>
            </w:pPr>
          </w:p>
        </w:tc>
        <w:tc>
          <w:tcPr>
            <w:tcW w:w="2969" w:type="dxa"/>
            <w:vMerge w:val="continue"/>
            <w:tcBorders>
              <w:top w:val="nil"/>
            </w:tcBorders>
            <w:vAlign w:val="top"/>
          </w:tcPr>
          <w:p>
            <w:pPr>
              <w:rPr>
                <w:sz w:val="2"/>
                <w:szCs w:val="2"/>
              </w:rPr>
            </w:pPr>
          </w:p>
        </w:tc>
        <w:tc>
          <w:tcPr>
            <w:tcW w:w="774" w:type="dxa"/>
            <w:vAlign w:val="top"/>
          </w:tcPr>
          <w:p>
            <w:pPr>
              <w:pStyle w:val="7"/>
              <w:rPr>
                <w:rFonts w:ascii="Times New Roman"/>
                <w:sz w:val="20"/>
              </w:rPr>
            </w:pPr>
          </w:p>
        </w:tc>
      </w:tr>
    </w:tbl>
    <w:p>
      <w:pPr>
        <w:spacing w:after="0"/>
        <w:rPr>
          <w:rFonts w:ascii="Times New Roman"/>
          <w:sz w:val="20"/>
        </w:rPr>
        <w:sectPr>
          <w:pgSz w:w="16840" w:h="11910" w:orient="landscape"/>
          <w:pgMar w:top="1100" w:right="700" w:bottom="1100" w:left="700" w:header="0" w:footer="907"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W w:w="15218"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7"/>
        <w:gridCol w:w="656"/>
        <w:gridCol w:w="711"/>
        <w:gridCol w:w="2145"/>
        <w:gridCol w:w="7306"/>
        <w:gridCol w:w="2969"/>
        <w:gridCol w:w="774"/>
      </w:tblGrid>
      <w:tr>
        <w:trPr>
          <w:trHeight w:val="523" w:hRule="atLeast"/>
        </w:trPr>
        <w:tc>
          <w:tcPr>
            <w:tcW w:w="657" w:type="dxa"/>
            <w:vAlign w:val="top"/>
          </w:tcPr>
          <w:p>
            <w:pPr>
              <w:pStyle w:val="7"/>
              <w:spacing w:before="127"/>
              <w:ind w:left="97" w:right="90"/>
              <w:jc w:val="center"/>
              <w:rPr>
                <w:rFonts w:hint="eastAsia" w:ascii="黑体" w:eastAsia="黑体"/>
                <w:sz w:val="21"/>
              </w:rPr>
            </w:pPr>
            <w:r>
              <w:rPr>
                <w:rFonts w:hint="eastAsia" w:ascii="黑体" w:eastAsia="黑体"/>
                <w:sz w:val="21"/>
              </w:rPr>
              <w:t>序号</w:t>
            </w:r>
          </w:p>
        </w:tc>
        <w:tc>
          <w:tcPr>
            <w:tcW w:w="656" w:type="dxa"/>
            <w:vAlign w:val="top"/>
          </w:tcPr>
          <w:p>
            <w:pPr>
              <w:pStyle w:val="7"/>
              <w:spacing w:before="127"/>
              <w:ind w:left="116"/>
              <w:rPr>
                <w:rFonts w:hint="eastAsia" w:ascii="黑体" w:eastAsia="黑体"/>
                <w:sz w:val="21"/>
              </w:rPr>
            </w:pPr>
            <w:r>
              <w:rPr>
                <w:rFonts w:hint="eastAsia" w:ascii="黑体" w:eastAsia="黑体"/>
                <w:sz w:val="21"/>
              </w:rPr>
              <w:t>类别</w:t>
            </w:r>
          </w:p>
        </w:tc>
        <w:tc>
          <w:tcPr>
            <w:tcW w:w="711" w:type="dxa"/>
            <w:vAlign w:val="top"/>
          </w:tcPr>
          <w:p>
            <w:pPr>
              <w:pStyle w:val="7"/>
              <w:spacing w:before="127"/>
              <w:ind w:left="144"/>
              <w:rPr>
                <w:rFonts w:hint="eastAsia" w:ascii="黑体" w:eastAsia="黑体"/>
                <w:sz w:val="21"/>
              </w:rPr>
            </w:pPr>
            <w:r>
              <w:rPr>
                <w:rFonts w:hint="eastAsia" w:ascii="黑体" w:eastAsia="黑体"/>
                <w:sz w:val="21"/>
              </w:rPr>
              <w:t>项目</w:t>
            </w:r>
          </w:p>
        </w:tc>
        <w:tc>
          <w:tcPr>
            <w:tcW w:w="2145" w:type="dxa"/>
            <w:vAlign w:val="top"/>
          </w:tcPr>
          <w:p>
            <w:pPr>
              <w:pStyle w:val="7"/>
              <w:spacing w:before="127"/>
              <w:ind w:left="650"/>
              <w:rPr>
                <w:rFonts w:hint="eastAsia" w:ascii="黑体" w:eastAsia="黑体"/>
                <w:sz w:val="21"/>
              </w:rPr>
            </w:pPr>
            <w:r>
              <w:rPr>
                <w:rFonts w:hint="eastAsia" w:ascii="黑体" w:eastAsia="黑体"/>
                <w:sz w:val="21"/>
              </w:rPr>
              <w:t>检查内容</w:t>
            </w:r>
          </w:p>
        </w:tc>
        <w:tc>
          <w:tcPr>
            <w:tcW w:w="7306" w:type="dxa"/>
            <w:vAlign w:val="top"/>
          </w:tcPr>
          <w:p>
            <w:pPr>
              <w:pStyle w:val="7"/>
              <w:spacing w:before="127"/>
              <w:ind w:left="3212" w:right="3204"/>
              <w:jc w:val="center"/>
              <w:rPr>
                <w:rFonts w:hint="eastAsia" w:ascii="黑体" w:eastAsia="黑体"/>
                <w:sz w:val="21"/>
              </w:rPr>
            </w:pPr>
            <w:r>
              <w:rPr>
                <w:rFonts w:hint="eastAsia" w:ascii="黑体" w:eastAsia="黑体"/>
                <w:sz w:val="21"/>
              </w:rPr>
              <w:t>检查依据</w:t>
            </w:r>
          </w:p>
        </w:tc>
        <w:tc>
          <w:tcPr>
            <w:tcW w:w="2969" w:type="dxa"/>
            <w:vAlign w:val="top"/>
          </w:tcPr>
          <w:p>
            <w:pPr>
              <w:pStyle w:val="7"/>
              <w:spacing w:before="127"/>
              <w:ind w:left="537"/>
              <w:rPr>
                <w:rFonts w:hint="eastAsia" w:ascii="黑体" w:eastAsia="黑体"/>
                <w:sz w:val="21"/>
              </w:rPr>
            </w:pPr>
            <w:r>
              <w:rPr>
                <w:rFonts w:hint="eastAsia" w:ascii="黑体" w:eastAsia="黑体"/>
                <w:sz w:val="21"/>
              </w:rPr>
              <w:t>处罚依据和整改建议</w:t>
            </w:r>
          </w:p>
        </w:tc>
        <w:tc>
          <w:tcPr>
            <w:tcW w:w="774" w:type="dxa"/>
            <w:vAlign w:val="top"/>
          </w:tcPr>
          <w:p>
            <w:pPr>
              <w:pStyle w:val="7"/>
              <w:spacing w:before="127"/>
              <w:ind w:left="177"/>
              <w:rPr>
                <w:rFonts w:hint="eastAsia" w:ascii="黑体" w:eastAsia="黑体"/>
                <w:sz w:val="21"/>
              </w:rPr>
            </w:pPr>
            <w:r>
              <w:rPr>
                <w:rFonts w:hint="eastAsia" w:ascii="黑体" w:eastAsia="黑体"/>
                <w:sz w:val="21"/>
              </w:rPr>
              <w:t>备注</w:t>
            </w:r>
          </w:p>
        </w:tc>
      </w:tr>
      <w:tr>
        <w:trPr>
          <w:trHeight w:val="3744" w:hRule="atLeast"/>
        </w:trPr>
        <w:tc>
          <w:tcPr>
            <w:tcW w:w="657"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27"/>
              <w:ind w:left="6"/>
              <w:jc w:val="center"/>
              <w:rPr>
                <w:sz w:val="21"/>
              </w:rPr>
            </w:pPr>
            <w:r>
              <w:rPr>
                <w:w w:val="99"/>
                <w:sz w:val="21"/>
              </w:rPr>
              <w:t>9</w:t>
            </w:r>
          </w:p>
        </w:tc>
        <w:tc>
          <w:tcPr>
            <w:tcW w:w="656" w:type="dxa"/>
            <w:vMerge w:val="restart"/>
            <w:textDirection w:val="tbRl"/>
            <w:vAlign w:val="top"/>
          </w:tcPr>
          <w:p>
            <w:pPr>
              <w:pStyle w:val="7"/>
              <w:spacing w:before="34"/>
              <w:ind w:left="1742" w:right="1736"/>
              <w:jc w:val="center"/>
              <w:rPr>
                <w:rFonts w:hint="eastAsia" w:ascii="微软雅黑" w:eastAsia="微软雅黑"/>
                <w:b/>
                <w:sz w:val="21"/>
              </w:rPr>
            </w:pPr>
            <w:r>
              <w:rPr>
                <w:rFonts w:hint="eastAsia" w:ascii="微软雅黑" w:eastAsia="微软雅黑"/>
                <w:b/>
                <w:sz w:val="21"/>
              </w:rPr>
              <w:t>全 面 覆 盖 的 风 险 辨 识 分 级 管 控 机 制</w:t>
            </w:r>
          </w:p>
        </w:tc>
        <w:tc>
          <w:tcPr>
            <w:tcW w:w="711" w:type="dxa"/>
            <w:vMerge w:val="restart"/>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2"/>
              <w:rPr>
                <w:rFonts w:ascii="Times New Roman"/>
                <w:sz w:val="29"/>
              </w:rPr>
            </w:pPr>
          </w:p>
          <w:p>
            <w:pPr>
              <w:pStyle w:val="7"/>
              <w:spacing w:line="278" w:lineRule="auto"/>
              <w:ind w:left="108" w:right="172"/>
              <w:jc w:val="both"/>
              <w:rPr>
                <w:sz w:val="21"/>
              </w:rPr>
            </w:pPr>
            <w:r>
              <w:rPr>
                <w:sz w:val="21"/>
              </w:rPr>
              <w:t>风险评价分级</w:t>
            </w:r>
          </w:p>
        </w:tc>
        <w:tc>
          <w:tcPr>
            <w:tcW w:w="2145" w:type="dxa"/>
            <w:vAlign w:val="top"/>
          </w:tcPr>
          <w:p>
            <w:pPr>
              <w:pStyle w:val="7"/>
              <w:spacing w:before="21" w:line="278" w:lineRule="auto"/>
              <w:ind w:left="108" w:right="97"/>
              <w:jc w:val="both"/>
              <w:rPr>
                <w:sz w:val="21"/>
              </w:rPr>
            </w:pPr>
            <w:r>
              <w:rPr>
                <w:sz w:val="21"/>
              </w:rPr>
              <w:t>各单位风险评价准则应符合有关法律法规、设计规范、技术标准规定以及本单位的安全管理、技术标准和本单位安全生产方针、目标等方面的规定。</w:t>
            </w:r>
          </w:p>
          <w:p>
            <w:pPr>
              <w:pStyle w:val="7"/>
              <w:spacing w:line="278" w:lineRule="auto"/>
              <w:ind w:left="108" w:right="97"/>
              <w:jc w:val="both"/>
              <w:rPr>
                <w:sz w:val="21"/>
              </w:rPr>
            </w:pPr>
            <w:r>
              <w:rPr>
                <w:spacing w:val="1"/>
                <w:sz w:val="21"/>
              </w:rPr>
              <w:t>风险评价过程中重大风险的直接判定相关</w:t>
            </w:r>
            <w:r>
              <w:rPr>
                <w:spacing w:val="1"/>
                <w:w w:val="95"/>
                <w:sz w:val="21"/>
              </w:rPr>
              <w:t>参数取值应依据导则</w:t>
            </w:r>
          </w:p>
          <w:p>
            <w:pPr>
              <w:pStyle w:val="7"/>
              <w:spacing w:line="269" w:lineRule="exact"/>
              <w:ind w:left="108"/>
              <w:rPr>
                <w:sz w:val="21"/>
              </w:rPr>
            </w:pPr>
            <w:r>
              <w:rPr>
                <w:w w:val="95"/>
                <w:sz w:val="21"/>
              </w:rPr>
              <w:t>有关规定从严从重。</w:t>
            </w:r>
          </w:p>
        </w:tc>
        <w:tc>
          <w:tcPr>
            <w:tcW w:w="7306" w:type="dxa"/>
            <w:vMerge w:val="restart"/>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63" w:line="278" w:lineRule="auto"/>
              <w:ind w:left="108" w:right="-15" w:firstLine="208"/>
              <w:jc w:val="both"/>
              <w:rPr>
                <w:sz w:val="21"/>
              </w:rPr>
            </w:pPr>
            <w:r>
              <w:rPr>
                <w:spacing w:val="-15"/>
                <w:sz w:val="21"/>
              </w:rPr>
              <w:t xml:space="preserve">《办法》第 </w:t>
            </w:r>
            <w:r>
              <w:rPr>
                <w:sz w:val="21"/>
              </w:rPr>
              <w:t>9</w:t>
            </w:r>
            <w:r>
              <w:rPr>
                <w:spacing w:val="-1"/>
                <w:sz w:val="21"/>
              </w:rPr>
              <w:t xml:space="preserve"> 条 生产经营单位应当对辨识出的安全风险进行评估，确定风</w:t>
            </w:r>
            <w:r>
              <w:rPr>
                <w:spacing w:val="-6"/>
                <w:sz w:val="21"/>
              </w:rPr>
              <w:t>险等级。安全风险等级从高到低依次分为重大风险、较大风险、一般风险和低风险四个等级，对应使用红、橙、黄、蓝四色标注：（</w:t>
            </w:r>
            <w:r>
              <w:rPr>
                <w:sz w:val="21"/>
              </w:rPr>
              <w:t>一</w:t>
            </w:r>
            <w:r>
              <w:rPr>
                <w:spacing w:val="-5"/>
                <w:sz w:val="21"/>
              </w:rPr>
              <w:t>）</w:t>
            </w:r>
            <w:r>
              <w:rPr>
                <w:spacing w:val="-2"/>
                <w:sz w:val="21"/>
              </w:rPr>
              <w:t>重大风险</w:t>
            </w:r>
            <w:r>
              <w:rPr>
                <w:sz w:val="21"/>
              </w:rPr>
              <w:t>（红色风险</w:t>
            </w:r>
            <w:r>
              <w:rPr>
                <w:spacing w:val="-9"/>
                <w:sz w:val="21"/>
              </w:rPr>
              <w:t>）</w:t>
            </w:r>
            <w:r>
              <w:rPr>
                <w:spacing w:val="-6"/>
                <w:sz w:val="21"/>
              </w:rPr>
              <w:t>：危险因素多，管控难度大，如发生事故，将造成特大经济损失或者特大</w:t>
            </w:r>
            <w:r>
              <w:rPr>
                <w:spacing w:val="10"/>
                <w:sz w:val="21"/>
              </w:rPr>
              <w:t xml:space="preserve">伤亡事故； </w:t>
            </w:r>
            <w:r>
              <w:rPr>
                <w:sz w:val="21"/>
              </w:rPr>
              <w:t xml:space="preserve">（二）较大风险（橙色风险）：危险因素较多，管控难度较大， </w:t>
            </w:r>
            <w:r>
              <w:rPr>
                <w:spacing w:val="-3"/>
                <w:sz w:val="21"/>
              </w:rPr>
              <w:t>如发生事故，将造成重大经济损失或者重大伤亡事故；</w:t>
            </w:r>
            <w:r>
              <w:rPr>
                <w:spacing w:val="-9"/>
                <w:sz w:val="21"/>
              </w:rPr>
              <w:t>（</w:t>
            </w:r>
            <w:r>
              <w:rPr>
                <w:sz w:val="21"/>
              </w:rPr>
              <w:t>三</w:t>
            </w:r>
            <w:r>
              <w:rPr>
                <w:spacing w:val="-10"/>
                <w:sz w:val="21"/>
              </w:rPr>
              <w:t>）</w:t>
            </w:r>
            <w:r>
              <w:rPr>
                <w:spacing w:val="-2"/>
                <w:sz w:val="21"/>
              </w:rPr>
              <w:t>一般风险</w:t>
            </w:r>
            <w:r>
              <w:rPr>
                <w:sz w:val="21"/>
              </w:rPr>
              <w:t>（黄色</w:t>
            </w:r>
            <w:r>
              <w:rPr>
                <w:w w:val="95"/>
                <w:sz w:val="21"/>
              </w:rPr>
              <w:t>风险</w:t>
            </w:r>
            <w:r>
              <w:rPr>
                <w:spacing w:val="-39"/>
                <w:w w:val="95"/>
                <w:sz w:val="21"/>
              </w:rPr>
              <w:t>）：</w:t>
            </w:r>
            <w:r>
              <w:rPr>
                <w:spacing w:val="-8"/>
                <w:w w:val="95"/>
                <w:sz w:val="21"/>
              </w:rPr>
              <w:t>风险在受控范围内，如发生事故，将造成较大经济损失或者重伤事故；</w:t>
            </w:r>
          </w:p>
          <w:p>
            <w:pPr>
              <w:pStyle w:val="7"/>
              <w:spacing w:line="278" w:lineRule="auto"/>
              <w:ind w:left="108" w:right="93"/>
              <w:rPr>
                <w:sz w:val="21"/>
              </w:rPr>
            </w:pPr>
            <w:r>
              <w:rPr>
                <w:w w:val="95"/>
                <w:sz w:val="21"/>
              </w:rPr>
              <w:t>（四</w:t>
            </w:r>
            <w:r>
              <w:rPr>
                <w:spacing w:val="-8"/>
                <w:w w:val="95"/>
                <w:sz w:val="21"/>
              </w:rPr>
              <w:t>）</w:t>
            </w:r>
            <w:r>
              <w:rPr>
                <w:spacing w:val="-3"/>
                <w:w w:val="95"/>
                <w:sz w:val="21"/>
              </w:rPr>
              <w:t>低风险</w:t>
            </w:r>
            <w:r>
              <w:rPr>
                <w:w w:val="95"/>
                <w:sz w:val="21"/>
              </w:rPr>
              <w:t>（蓝色风险</w:t>
            </w:r>
            <w:r>
              <w:rPr>
                <w:spacing w:val="-7"/>
                <w:w w:val="95"/>
                <w:sz w:val="21"/>
              </w:rPr>
              <w:t>）</w:t>
            </w:r>
            <w:r>
              <w:rPr>
                <w:spacing w:val="-5"/>
                <w:w w:val="95"/>
                <w:sz w:val="21"/>
              </w:rPr>
              <w:t xml:space="preserve">：风险在受控范围内，如发生事故，将造成一般经  </w:t>
            </w:r>
            <w:r>
              <w:rPr>
                <w:spacing w:val="-5"/>
                <w:sz w:val="21"/>
              </w:rPr>
              <w:t>济损失或者轻伤事故。</w:t>
            </w:r>
          </w:p>
        </w:tc>
        <w:tc>
          <w:tcPr>
            <w:tcW w:w="2969" w:type="dxa"/>
            <w:vMerge w:val="restart"/>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39"/>
              <w:ind w:left="317" w:right="-15"/>
              <w:rPr>
                <w:sz w:val="21"/>
              </w:rPr>
            </w:pPr>
            <w:r>
              <w:rPr>
                <w:spacing w:val="-10"/>
                <w:sz w:val="21"/>
              </w:rPr>
              <w:t>《条例》第六十一条第三项：</w:t>
            </w:r>
          </w:p>
          <w:p>
            <w:pPr>
              <w:pStyle w:val="7"/>
              <w:spacing w:before="43" w:line="278" w:lineRule="auto"/>
              <w:ind w:left="108" w:right="95"/>
              <w:jc w:val="both"/>
              <w:rPr>
                <w:sz w:val="21"/>
              </w:rPr>
            </w:pPr>
            <w:r>
              <w:rPr>
                <w:sz w:val="21"/>
              </w:rPr>
              <w:t>（未实施安全生产风险管控制度）责令限期改正，可以处一万元以上十万元以下的罚款； 逾期未改正的，责令停产停业整顿，并处十万元以上二十万元以下的罚款，对其直接负责的主管人员和其他直接责任人员处二万元以上五万元以下的罚款；构成犯罪的，依照刑法有关规定追究刑事责任。</w:t>
            </w:r>
          </w:p>
          <w:p>
            <w:pPr>
              <w:pStyle w:val="7"/>
              <w:spacing w:line="278" w:lineRule="auto"/>
              <w:ind w:left="108" w:right="95" w:firstLine="208"/>
              <w:jc w:val="both"/>
              <w:rPr>
                <w:sz w:val="21"/>
              </w:rPr>
            </w:pPr>
            <w:r>
              <w:rPr>
                <w:spacing w:val="-17"/>
                <w:sz w:val="21"/>
              </w:rPr>
              <w:t xml:space="preserve">《办法》第 </w:t>
            </w:r>
            <w:r>
              <w:rPr>
                <w:sz w:val="21"/>
              </w:rPr>
              <w:t>29</w:t>
            </w:r>
            <w:r>
              <w:rPr>
                <w:spacing w:val="-47"/>
                <w:sz w:val="21"/>
              </w:rPr>
              <w:t xml:space="preserve"> 条</w:t>
            </w:r>
            <w:r>
              <w:rPr>
                <w:sz w:val="21"/>
              </w:rPr>
              <w:t>（</w:t>
            </w:r>
            <w:r>
              <w:rPr>
                <w:spacing w:val="-3"/>
                <w:sz w:val="21"/>
              </w:rPr>
              <w:t>未实施风</w:t>
            </w:r>
            <w:r>
              <w:rPr>
                <w:sz w:val="21"/>
              </w:rPr>
              <w:t>险管控制度的）：</w:t>
            </w:r>
            <w:r>
              <w:rPr>
                <w:spacing w:val="-2"/>
                <w:sz w:val="21"/>
              </w:rPr>
              <w:t>责令限期改</w:t>
            </w:r>
            <w:r>
              <w:rPr>
                <w:spacing w:val="-1"/>
                <w:sz w:val="21"/>
              </w:rPr>
              <w:t>正，可以处一万元以上十万元以下的罚款；逾期未改正的， 处十万元以上二十万元以下的罚款，对其直接负责的主管人员和其他直接责任人员处二万</w:t>
            </w:r>
            <w:r>
              <w:rPr>
                <w:sz w:val="21"/>
              </w:rPr>
              <w:t>元以上五万元以下的罚款；…</w:t>
            </w:r>
          </w:p>
        </w:tc>
        <w:tc>
          <w:tcPr>
            <w:tcW w:w="774" w:type="dxa"/>
            <w:vAlign w:val="top"/>
          </w:tcPr>
          <w:p>
            <w:pPr>
              <w:pStyle w:val="7"/>
              <w:rPr>
                <w:rFonts w:ascii="Times New Roman"/>
                <w:sz w:val="20"/>
              </w:rPr>
            </w:pPr>
          </w:p>
        </w:tc>
      </w:tr>
      <w:tr>
        <w:trPr>
          <w:trHeight w:val="3791" w:hRule="atLeast"/>
        </w:trPr>
        <w:tc>
          <w:tcPr>
            <w:tcW w:w="657"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50"/>
              <w:ind w:left="96" w:right="90"/>
              <w:jc w:val="center"/>
              <w:rPr>
                <w:sz w:val="21"/>
              </w:rPr>
            </w:pPr>
            <w:r>
              <w:rPr>
                <w:sz w:val="21"/>
              </w:rPr>
              <w:t>10</w:t>
            </w:r>
          </w:p>
        </w:tc>
        <w:tc>
          <w:tcPr>
            <w:tcW w:w="656" w:type="dxa"/>
            <w:vMerge w:val="continue"/>
            <w:tcBorders>
              <w:top w:val="nil"/>
            </w:tcBorders>
            <w:textDirection w:val="tbRl"/>
            <w:vAlign w:val="top"/>
          </w:tcPr>
          <w:p>
            <w:pPr>
              <w:rPr>
                <w:sz w:val="2"/>
                <w:szCs w:val="2"/>
              </w:rPr>
            </w:pPr>
          </w:p>
        </w:tc>
        <w:tc>
          <w:tcPr>
            <w:tcW w:w="711" w:type="dxa"/>
            <w:vMerge w:val="continue"/>
            <w:tcBorders>
              <w:top w:val="nil"/>
            </w:tcBorders>
            <w:vAlign w:val="top"/>
          </w:tcPr>
          <w:p>
            <w:pPr>
              <w:rPr>
                <w:sz w:val="2"/>
                <w:szCs w:val="2"/>
              </w:rPr>
            </w:pPr>
          </w:p>
        </w:tc>
        <w:tc>
          <w:tcPr>
            <w:tcW w:w="2145"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1"/>
              <w:rPr>
                <w:rFonts w:ascii="Times New Roman"/>
                <w:sz w:val="25"/>
              </w:rPr>
            </w:pPr>
          </w:p>
          <w:p>
            <w:pPr>
              <w:pStyle w:val="7"/>
              <w:spacing w:line="278" w:lineRule="auto"/>
              <w:ind w:left="108" w:right="97"/>
              <w:jc w:val="both"/>
              <w:rPr>
                <w:sz w:val="21"/>
              </w:rPr>
            </w:pPr>
            <w:r>
              <w:rPr>
                <w:sz w:val="21"/>
              </w:rPr>
              <w:t>应依据导则、行业细则等规定进行重大风险判定。</w:t>
            </w:r>
          </w:p>
        </w:tc>
        <w:tc>
          <w:tcPr>
            <w:tcW w:w="7306" w:type="dxa"/>
            <w:vMerge w:val="continue"/>
            <w:tcBorders>
              <w:top w:val="nil"/>
            </w:tcBorders>
            <w:vAlign w:val="top"/>
          </w:tcPr>
          <w:p>
            <w:pPr>
              <w:rPr>
                <w:sz w:val="2"/>
                <w:szCs w:val="2"/>
              </w:rPr>
            </w:pPr>
          </w:p>
        </w:tc>
        <w:tc>
          <w:tcPr>
            <w:tcW w:w="2969" w:type="dxa"/>
            <w:vMerge w:val="continue"/>
            <w:tcBorders>
              <w:top w:val="nil"/>
            </w:tcBorders>
            <w:vAlign w:val="top"/>
          </w:tcPr>
          <w:p>
            <w:pPr>
              <w:rPr>
                <w:sz w:val="2"/>
                <w:szCs w:val="2"/>
              </w:rPr>
            </w:pPr>
          </w:p>
        </w:tc>
        <w:tc>
          <w:tcPr>
            <w:tcW w:w="774" w:type="dxa"/>
            <w:vAlign w:val="top"/>
          </w:tcPr>
          <w:p>
            <w:pPr>
              <w:pStyle w:val="7"/>
              <w:rPr>
                <w:rFonts w:ascii="Times New Roman"/>
                <w:sz w:val="20"/>
              </w:rPr>
            </w:pPr>
          </w:p>
        </w:tc>
      </w:tr>
    </w:tbl>
    <w:p>
      <w:pPr>
        <w:spacing w:after="0"/>
        <w:rPr>
          <w:rFonts w:ascii="Times New Roman"/>
          <w:sz w:val="20"/>
        </w:rPr>
        <w:sectPr>
          <w:pgSz w:w="16840" w:h="11910" w:orient="landscape"/>
          <w:pgMar w:top="1100" w:right="700" w:bottom="1100" w:left="700" w:header="0" w:footer="907"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W w:w="15218"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7"/>
        <w:gridCol w:w="656"/>
        <w:gridCol w:w="711"/>
        <w:gridCol w:w="2145"/>
        <w:gridCol w:w="7306"/>
        <w:gridCol w:w="2969"/>
        <w:gridCol w:w="774"/>
      </w:tblGrid>
      <w:tr>
        <w:trPr>
          <w:trHeight w:val="523" w:hRule="atLeast"/>
        </w:trPr>
        <w:tc>
          <w:tcPr>
            <w:tcW w:w="657" w:type="dxa"/>
            <w:vAlign w:val="top"/>
          </w:tcPr>
          <w:p>
            <w:pPr>
              <w:pStyle w:val="7"/>
              <w:spacing w:before="127"/>
              <w:ind w:left="97" w:right="90"/>
              <w:jc w:val="center"/>
              <w:rPr>
                <w:rFonts w:hint="eastAsia" w:ascii="黑体" w:eastAsia="黑体"/>
                <w:sz w:val="21"/>
              </w:rPr>
            </w:pPr>
            <w:r>
              <w:rPr>
                <w:rFonts w:hint="eastAsia" w:ascii="黑体" w:eastAsia="黑体"/>
                <w:sz w:val="21"/>
              </w:rPr>
              <w:t>序号</w:t>
            </w:r>
          </w:p>
        </w:tc>
        <w:tc>
          <w:tcPr>
            <w:tcW w:w="656" w:type="dxa"/>
            <w:vAlign w:val="top"/>
          </w:tcPr>
          <w:p>
            <w:pPr>
              <w:pStyle w:val="7"/>
              <w:spacing w:before="127"/>
              <w:ind w:left="116"/>
              <w:rPr>
                <w:rFonts w:hint="eastAsia" w:ascii="黑体" w:eastAsia="黑体"/>
                <w:sz w:val="21"/>
              </w:rPr>
            </w:pPr>
            <w:r>
              <w:rPr>
                <w:rFonts w:hint="eastAsia" w:ascii="黑体" w:eastAsia="黑体"/>
                <w:sz w:val="21"/>
              </w:rPr>
              <w:t>类别</w:t>
            </w:r>
          </w:p>
        </w:tc>
        <w:tc>
          <w:tcPr>
            <w:tcW w:w="711" w:type="dxa"/>
            <w:vAlign w:val="top"/>
          </w:tcPr>
          <w:p>
            <w:pPr>
              <w:pStyle w:val="7"/>
              <w:spacing w:before="127"/>
              <w:ind w:left="68" w:right="62"/>
              <w:jc w:val="center"/>
              <w:rPr>
                <w:rFonts w:hint="eastAsia" w:ascii="黑体" w:eastAsia="黑体"/>
                <w:sz w:val="21"/>
              </w:rPr>
            </w:pPr>
            <w:r>
              <w:rPr>
                <w:rFonts w:hint="eastAsia" w:ascii="黑体" w:eastAsia="黑体"/>
                <w:sz w:val="21"/>
              </w:rPr>
              <w:t>项目</w:t>
            </w:r>
          </w:p>
        </w:tc>
        <w:tc>
          <w:tcPr>
            <w:tcW w:w="2145" w:type="dxa"/>
            <w:vAlign w:val="top"/>
          </w:tcPr>
          <w:p>
            <w:pPr>
              <w:pStyle w:val="7"/>
              <w:spacing w:before="127"/>
              <w:ind w:left="650"/>
              <w:rPr>
                <w:rFonts w:hint="eastAsia" w:ascii="黑体" w:eastAsia="黑体"/>
                <w:sz w:val="21"/>
              </w:rPr>
            </w:pPr>
            <w:r>
              <w:rPr>
                <w:rFonts w:hint="eastAsia" w:ascii="黑体" w:eastAsia="黑体"/>
                <w:sz w:val="21"/>
              </w:rPr>
              <w:t>检查内容</w:t>
            </w:r>
          </w:p>
        </w:tc>
        <w:tc>
          <w:tcPr>
            <w:tcW w:w="7306" w:type="dxa"/>
            <w:vAlign w:val="top"/>
          </w:tcPr>
          <w:p>
            <w:pPr>
              <w:pStyle w:val="7"/>
              <w:spacing w:before="127"/>
              <w:ind w:left="3212" w:right="3204"/>
              <w:jc w:val="center"/>
              <w:rPr>
                <w:rFonts w:hint="eastAsia" w:ascii="黑体" w:eastAsia="黑体"/>
                <w:sz w:val="21"/>
              </w:rPr>
            </w:pPr>
            <w:r>
              <w:rPr>
                <w:rFonts w:hint="eastAsia" w:ascii="黑体" w:eastAsia="黑体"/>
                <w:sz w:val="21"/>
              </w:rPr>
              <w:t>检查依据</w:t>
            </w:r>
          </w:p>
        </w:tc>
        <w:tc>
          <w:tcPr>
            <w:tcW w:w="2969" w:type="dxa"/>
            <w:vAlign w:val="top"/>
          </w:tcPr>
          <w:p>
            <w:pPr>
              <w:pStyle w:val="7"/>
              <w:spacing w:before="127"/>
              <w:ind w:left="537"/>
              <w:rPr>
                <w:rFonts w:hint="eastAsia" w:ascii="黑体" w:eastAsia="黑体"/>
                <w:sz w:val="21"/>
              </w:rPr>
            </w:pPr>
            <w:r>
              <w:rPr>
                <w:rFonts w:hint="eastAsia" w:ascii="黑体" w:eastAsia="黑体"/>
                <w:sz w:val="21"/>
              </w:rPr>
              <w:t>处罚依据和整改建议</w:t>
            </w:r>
          </w:p>
        </w:tc>
        <w:tc>
          <w:tcPr>
            <w:tcW w:w="774" w:type="dxa"/>
            <w:vAlign w:val="top"/>
          </w:tcPr>
          <w:p>
            <w:pPr>
              <w:pStyle w:val="7"/>
              <w:spacing w:before="127"/>
              <w:ind w:left="177"/>
              <w:rPr>
                <w:rFonts w:hint="eastAsia" w:ascii="黑体" w:eastAsia="黑体"/>
                <w:sz w:val="21"/>
              </w:rPr>
            </w:pPr>
            <w:r>
              <w:rPr>
                <w:rFonts w:hint="eastAsia" w:ascii="黑体" w:eastAsia="黑体"/>
                <w:sz w:val="21"/>
              </w:rPr>
              <w:t>备注</w:t>
            </w:r>
          </w:p>
        </w:tc>
      </w:tr>
      <w:tr>
        <w:trPr>
          <w:trHeight w:val="779" w:hRule="atLeast"/>
        </w:trPr>
        <w:tc>
          <w:tcPr>
            <w:tcW w:w="657" w:type="dxa"/>
            <w:tcBorders>
              <w:bottom w:val="nil"/>
            </w:tcBorders>
            <w:vAlign w:val="top"/>
          </w:tcPr>
          <w:p>
            <w:pPr>
              <w:pStyle w:val="7"/>
              <w:rPr>
                <w:rFonts w:ascii="Times New Roman"/>
                <w:sz w:val="20"/>
              </w:rPr>
            </w:pPr>
          </w:p>
        </w:tc>
        <w:tc>
          <w:tcPr>
            <w:tcW w:w="656" w:type="dxa"/>
            <w:vMerge w:val="restart"/>
            <w:textDirection w:val="tbRl"/>
            <w:vAlign w:val="top"/>
          </w:tcPr>
          <w:p>
            <w:pPr>
              <w:pStyle w:val="7"/>
              <w:spacing w:before="34"/>
              <w:ind w:left="1246" w:right="1239"/>
              <w:jc w:val="center"/>
              <w:rPr>
                <w:rFonts w:hint="eastAsia" w:ascii="微软雅黑" w:eastAsia="微软雅黑"/>
                <w:b/>
                <w:sz w:val="21"/>
              </w:rPr>
            </w:pPr>
            <w:r>
              <w:rPr>
                <w:rFonts w:hint="eastAsia" w:ascii="微软雅黑" w:eastAsia="微软雅黑"/>
                <w:b/>
                <w:sz w:val="21"/>
              </w:rPr>
              <w:t>全 面 覆 盖 的 风 险 辨 识 分 级 管 控 机 制</w:t>
            </w:r>
          </w:p>
        </w:tc>
        <w:tc>
          <w:tcPr>
            <w:tcW w:w="711" w:type="dxa"/>
            <w:tcBorders>
              <w:bottom w:val="nil"/>
            </w:tcBorders>
            <w:vAlign w:val="top"/>
          </w:tcPr>
          <w:p>
            <w:pPr>
              <w:pStyle w:val="7"/>
              <w:rPr>
                <w:rFonts w:ascii="Times New Roman"/>
                <w:sz w:val="20"/>
              </w:rPr>
            </w:pPr>
          </w:p>
        </w:tc>
        <w:tc>
          <w:tcPr>
            <w:tcW w:w="2145" w:type="dxa"/>
            <w:vMerge w:val="restart"/>
            <w:vAlign w:val="top"/>
          </w:tcPr>
          <w:p>
            <w:pPr>
              <w:pStyle w:val="7"/>
              <w:spacing w:before="21" w:line="278" w:lineRule="auto"/>
              <w:ind w:left="108" w:right="-15" w:firstLine="208"/>
              <w:rPr>
                <w:sz w:val="21"/>
              </w:rPr>
            </w:pPr>
            <w:r>
              <w:rPr>
                <w:spacing w:val="5"/>
                <w:sz w:val="21"/>
              </w:rPr>
              <w:t>从工程技术措施、</w:t>
            </w:r>
            <w:r>
              <w:rPr>
                <w:spacing w:val="3"/>
                <w:sz w:val="21"/>
              </w:rPr>
              <w:t>管理措施、培训教育</w:t>
            </w:r>
            <w:r>
              <w:rPr>
                <w:spacing w:val="-8"/>
                <w:sz w:val="21"/>
              </w:rPr>
              <w:t>措施、个体防护措施、</w:t>
            </w:r>
            <w:r>
              <w:rPr>
                <w:spacing w:val="3"/>
                <w:sz w:val="21"/>
              </w:rPr>
              <w:t>应急处置措施等方面识别并评估现有控制措施的有效性。现有控制措施不足以控制此项风险，应提出建</w:t>
            </w:r>
            <w:r>
              <w:rPr>
                <w:spacing w:val="30"/>
                <w:sz w:val="21"/>
              </w:rPr>
              <w:t>议或改进的控制措</w:t>
            </w:r>
            <w:r>
              <w:rPr>
                <w:spacing w:val="3"/>
                <w:sz w:val="21"/>
              </w:rPr>
              <w:t>施。控制措施应具体可操作并符合企业实</w:t>
            </w:r>
          </w:p>
          <w:p>
            <w:pPr>
              <w:pStyle w:val="7"/>
              <w:spacing w:line="268" w:lineRule="exact"/>
              <w:ind w:left="108"/>
              <w:rPr>
                <w:sz w:val="21"/>
              </w:rPr>
            </w:pPr>
            <w:r>
              <w:rPr>
                <w:sz w:val="21"/>
              </w:rPr>
              <w:t>际。</w:t>
            </w:r>
          </w:p>
        </w:tc>
        <w:tc>
          <w:tcPr>
            <w:tcW w:w="7306" w:type="dxa"/>
            <w:tcBorders>
              <w:bottom w:val="nil"/>
            </w:tcBorders>
            <w:vAlign w:val="top"/>
          </w:tcPr>
          <w:p>
            <w:pPr>
              <w:pStyle w:val="7"/>
              <w:rPr>
                <w:rFonts w:ascii="Times New Roman"/>
                <w:sz w:val="20"/>
              </w:rPr>
            </w:pPr>
          </w:p>
          <w:p>
            <w:pPr>
              <w:pStyle w:val="7"/>
              <w:spacing w:before="10"/>
              <w:rPr>
                <w:rFonts w:ascii="Times New Roman"/>
                <w:sz w:val="22"/>
              </w:rPr>
            </w:pPr>
          </w:p>
          <w:p>
            <w:pPr>
              <w:pStyle w:val="7"/>
              <w:spacing w:line="266" w:lineRule="exact"/>
              <w:ind w:left="423"/>
              <w:rPr>
                <w:sz w:val="21"/>
              </w:rPr>
            </w:pPr>
            <w:r>
              <w:rPr>
                <w:sz w:val="21"/>
              </w:rPr>
              <w:t>《条例》第 23 条 生产经营单位应当按照国家规定落实重大危险源监测监</w:t>
            </w:r>
          </w:p>
        </w:tc>
        <w:tc>
          <w:tcPr>
            <w:tcW w:w="2969" w:type="dxa"/>
            <w:vMerge w:val="restart"/>
            <w:vAlign w:val="top"/>
          </w:tcPr>
          <w:p>
            <w:pPr>
              <w:pStyle w:val="7"/>
              <w:spacing w:before="4"/>
              <w:rPr>
                <w:rFonts w:ascii="Times New Roman"/>
                <w:sz w:val="29"/>
              </w:rPr>
            </w:pPr>
          </w:p>
          <w:p>
            <w:pPr>
              <w:pStyle w:val="7"/>
              <w:ind w:left="317" w:right="-15"/>
              <w:rPr>
                <w:sz w:val="21"/>
              </w:rPr>
            </w:pPr>
            <w:r>
              <w:rPr>
                <w:spacing w:val="-10"/>
                <w:sz w:val="21"/>
              </w:rPr>
              <w:t>《条例》第六十一条第三项：</w:t>
            </w:r>
          </w:p>
          <w:p>
            <w:pPr>
              <w:pStyle w:val="7"/>
              <w:spacing w:before="43" w:line="278" w:lineRule="auto"/>
              <w:ind w:left="108" w:right="95"/>
              <w:jc w:val="both"/>
              <w:rPr>
                <w:sz w:val="21"/>
              </w:rPr>
            </w:pPr>
            <w:r>
              <w:rPr>
                <w:sz w:val="21"/>
              </w:rPr>
              <w:t>（未实施安全生产风险管控制度）责令限期改正，可以处一万元以上十万元以下的罚款； 逾期未改正的，责令停产停业整顿，并处十万元以上二十万元以下的罚款，对其直接负责的主管人员和其他直接责任人员处二万元以上五万元以下的罚款；构成犯罪的，依照刑法有关规定追究刑事责任。</w:t>
            </w:r>
          </w:p>
          <w:p>
            <w:pPr>
              <w:pStyle w:val="7"/>
              <w:spacing w:line="278" w:lineRule="auto"/>
              <w:ind w:left="108" w:right="95" w:firstLine="208"/>
              <w:jc w:val="both"/>
              <w:rPr>
                <w:sz w:val="21"/>
              </w:rPr>
            </w:pPr>
            <w:r>
              <w:rPr>
                <w:spacing w:val="-17"/>
                <w:sz w:val="21"/>
              </w:rPr>
              <w:t xml:space="preserve">《办法》第 </w:t>
            </w:r>
            <w:r>
              <w:rPr>
                <w:sz w:val="21"/>
              </w:rPr>
              <w:t>29</w:t>
            </w:r>
            <w:r>
              <w:rPr>
                <w:spacing w:val="-47"/>
                <w:sz w:val="21"/>
              </w:rPr>
              <w:t xml:space="preserve"> 条</w:t>
            </w:r>
            <w:r>
              <w:rPr>
                <w:sz w:val="21"/>
              </w:rPr>
              <w:t>（</w:t>
            </w:r>
            <w:r>
              <w:rPr>
                <w:spacing w:val="-3"/>
                <w:sz w:val="21"/>
              </w:rPr>
              <w:t>未实施风</w:t>
            </w:r>
            <w:r>
              <w:rPr>
                <w:sz w:val="21"/>
              </w:rPr>
              <w:t>险管控制度的）：</w:t>
            </w:r>
            <w:r>
              <w:rPr>
                <w:spacing w:val="-2"/>
                <w:sz w:val="21"/>
              </w:rPr>
              <w:t>责令限期改</w:t>
            </w:r>
            <w:r>
              <w:rPr>
                <w:spacing w:val="-1"/>
                <w:sz w:val="21"/>
              </w:rPr>
              <w:t>正，可以处一万元以上十万元以下的罚款；逾期未改正的， 处十万元以上二十万元以下的罚款，对其直接负责的主管人员和其他直接责任人员处二万</w:t>
            </w:r>
            <w:r>
              <w:rPr>
                <w:sz w:val="21"/>
              </w:rPr>
              <w:t>元以上五万元以下的罚款。</w:t>
            </w:r>
          </w:p>
        </w:tc>
        <w:tc>
          <w:tcPr>
            <w:tcW w:w="774" w:type="dxa"/>
            <w:vMerge w:val="restart"/>
            <w:vAlign w:val="top"/>
          </w:tcPr>
          <w:p>
            <w:pPr>
              <w:pStyle w:val="7"/>
              <w:spacing w:before="21"/>
              <w:ind w:left="108"/>
              <w:rPr>
                <w:sz w:val="21"/>
              </w:rPr>
            </w:pPr>
            <w:r>
              <w:rPr>
                <w:spacing w:val="10"/>
                <w:sz w:val="21"/>
              </w:rPr>
              <w:t>对 于</w:t>
            </w:r>
          </w:p>
          <w:p>
            <w:pPr>
              <w:pStyle w:val="7"/>
              <w:spacing w:before="42"/>
              <w:ind w:left="108"/>
              <w:rPr>
                <w:sz w:val="21"/>
              </w:rPr>
            </w:pPr>
            <w:r>
              <w:rPr>
                <w:spacing w:val="10"/>
                <w:sz w:val="21"/>
              </w:rPr>
              <w:t>涉 及</w:t>
            </w:r>
          </w:p>
          <w:p>
            <w:pPr>
              <w:pStyle w:val="7"/>
              <w:spacing w:before="43"/>
              <w:ind w:left="108"/>
              <w:rPr>
                <w:sz w:val="21"/>
              </w:rPr>
            </w:pPr>
            <w:r>
              <w:rPr>
                <w:spacing w:val="10"/>
                <w:sz w:val="21"/>
              </w:rPr>
              <w:t>重 大</w:t>
            </w:r>
          </w:p>
          <w:p>
            <w:pPr>
              <w:pStyle w:val="7"/>
              <w:spacing w:before="43" w:line="278" w:lineRule="auto"/>
              <w:ind w:left="108" w:right="24"/>
              <w:rPr>
                <w:sz w:val="21"/>
              </w:rPr>
            </w:pPr>
            <w:r>
              <w:rPr>
                <w:sz w:val="21"/>
              </w:rPr>
              <w:t>危 险源的， 从 其规定。</w:t>
            </w:r>
          </w:p>
        </w:tc>
      </w:tr>
      <w:tr>
        <w:trPr>
          <w:trHeight w:val="301" w:hRule="atLeast"/>
        </w:trPr>
        <w:tc>
          <w:tcPr>
            <w:tcW w:w="657" w:type="dxa"/>
            <w:tcBorders>
              <w:top w:val="nil"/>
              <w:bottom w:val="nil"/>
            </w:tcBorders>
            <w:vAlign w:val="top"/>
          </w:tcPr>
          <w:p>
            <w:pPr>
              <w:pStyle w:val="7"/>
              <w:rPr>
                <w:rFonts w:ascii="Times New Roman"/>
                <w:sz w:val="20"/>
              </w:rPr>
            </w:pPr>
          </w:p>
        </w:tc>
        <w:tc>
          <w:tcPr>
            <w:tcW w:w="656" w:type="dxa"/>
            <w:vMerge w:val="continue"/>
            <w:tcBorders>
              <w:top w:val="nil"/>
            </w:tcBorders>
            <w:textDirection w:val="tbRl"/>
            <w:vAlign w:val="top"/>
          </w:tcPr>
          <w:p>
            <w:pPr>
              <w:rPr>
                <w:sz w:val="2"/>
                <w:szCs w:val="2"/>
              </w:rPr>
            </w:pPr>
          </w:p>
        </w:tc>
        <w:tc>
          <w:tcPr>
            <w:tcW w:w="711" w:type="dxa"/>
            <w:tcBorders>
              <w:top w:val="nil"/>
              <w:bottom w:val="nil"/>
            </w:tcBorders>
            <w:vAlign w:val="top"/>
          </w:tcPr>
          <w:p>
            <w:pPr>
              <w:pStyle w:val="7"/>
              <w:rPr>
                <w:rFonts w:ascii="Times New Roman"/>
                <w:sz w:val="20"/>
              </w:rPr>
            </w:pPr>
          </w:p>
        </w:tc>
        <w:tc>
          <w:tcPr>
            <w:tcW w:w="2145" w:type="dxa"/>
            <w:vMerge w:val="continue"/>
            <w:tcBorders>
              <w:top w:val="nil"/>
            </w:tcBorders>
            <w:vAlign w:val="top"/>
          </w:tcPr>
          <w:p>
            <w:pPr>
              <w:rPr>
                <w:sz w:val="2"/>
                <w:szCs w:val="2"/>
              </w:rPr>
            </w:pPr>
          </w:p>
        </w:tc>
        <w:tc>
          <w:tcPr>
            <w:tcW w:w="7306" w:type="dxa"/>
            <w:tcBorders>
              <w:top w:val="nil"/>
              <w:bottom w:val="nil"/>
            </w:tcBorders>
            <w:vAlign w:val="top"/>
          </w:tcPr>
          <w:p>
            <w:pPr>
              <w:pStyle w:val="7"/>
              <w:spacing w:before="16" w:line="266" w:lineRule="exact"/>
              <w:ind w:left="108" w:right="-15"/>
              <w:rPr>
                <w:sz w:val="21"/>
              </w:rPr>
            </w:pPr>
            <w:r>
              <w:rPr>
                <w:spacing w:val="-2"/>
                <w:w w:val="95"/>
                <w:sz w:val="21"/>
              </w:rPr>
              <w:t>控管理责任，并对重大危险源采取下列措施：</w:t>
            </w:r>
            <w:r>
              <w:rPr>
                <w:spacing w:val="-6"/>
                <w:w w:val="95"/>
                <w:sz w:val="21"/>
              </w:rPr>
              <w:t>（</w:t>
            </w:r>
            <w:r>
              <w:rPr>
                <w:w w:val="95"/>
                <w:sz w:val="21"/>
              </w:rPr>
              <w:t>一</w:t>
            </w:r>
            <w:r>
              <w:rPr>
                <w:spacing w:val="-5"/>
                <w:w w:val="95"/>
                <w:sz w:val="21"/>
              </w:rPr>
              <w:t>）</w:t>
            </w:r>
            <w:r>
              <w:rPr>
                <w:spacing w:val="-4"/>
                <w:w w:val="95"/>
                <w:sz w:val="21"/>
              </w:rPr>
              <w:t>登记、建档、申报;</w:t>
            </w:r>
            <w:r>
              <w:rPr>
                <w:spacing w:val="-3"/>
                <w:w w:val="95"/>
                <w:sz w:val="21"/>
              </w:rPr>
              <w:t>（</w:t>
            </w:r>
            <w:r>
              <w:rPr>
                <w:w w:val="95"/>
                <w:sz w:val="21"/>
              </w:rPr>
              <w:t>二）</w:t>
            </w:r>
          </w:p>
        </w:tc>
        <w:tc>
          <w:tcPr>
            <w:tcW w:w="2969" w:type="dxa"/>
            <w:vMerge w:val="continue"/>
            <w:tcBorders>
              <w:top w:val="nil"/>
            </w:tcBorders>
            <w:vAlign w:val="top"/>
          </w:tcPr>
          <w:p>
            <w:pPr>
              <w:rPr>
                <w:sz w:val="2"/>
                <w:szCs w:val="2"/>
              </w:rPr>
            </w:pPr>
          </w:p>
        </w:tc>
        <w:tc>
          <w:tcPr>
            <w:tcW w:w="774" w:type="dxa"/>
            <w:vMerge w:val="continue"/>
            <w:tcBorders>
              <w:top w:val="nil"/>
            </w:tcBorders>
            <w:vAlign w:val="top"/>
          </w:tcPr>
          <w:p>
            <w:pPr>
              <w:rPr>
                <w:sz w:val="2"/>
                <w:szCs w:val="2"/>
              </w:rPr>
            </w:pPr>
          </w:p>
        </w:tc>
      </w:tr>
      <w:tr>
        <w:trPr>
          <w:trHeight w:val="302" w:hRule="atLeast"/>
        </w:trPr>
        <w:tc>
          <w:tcPr>
            <w:tcW w:w="657" w:type="dxa"/>
            <w:tcBorders>
              <w:top w:val="nil"/>
              <w:bottom w:val="nil"/>
            </w:tcBorders>
            <w:vAlign w:val="top"/>
          </w:tcPr>
          <w:p>
            <w:pPr>
              <w:pStyle w:val="7"/>
              <w:rPr>
                <w:rFonts w:ascii="Times New Roman"/>
                <w:sz w:val="20"/>
              </w:rPr>
            </w:pPr>
          </w:p>
        </w:tc>
        <w:tc>
          <w:tcPr>
            <w:tcW w:w="656" w:type="dxa"/>
            <w:vMerge w:val="continue"/>
            <w:tcBorders>
              <w:top w:val="nil"/>
            </w:tcBorders>
            <w:textDirection w:val="tbRl"/>
            <w:vAlign w:val="top"/>
          </w:tcPr>
          <w:p>
            <w:pPr>
              <w:rPr>
                <w:sz w:val="2"/>
                <w:szCs w:val="2"/>
              </w:rPr>
            </w:pPr>
          </w:p>
        </w:tc>
        <w:tc>
          <w:tcPr>
            <w:tcW w:w="711" w:type="dxa"/>
            <w:tcBorders>
              <w:top w:val="nil"/>
              <w:bottom w:val="nil"/>
            </w:tcBorders>
            <w:vAlign w:val="top"/>
          </w:tcPr>
          <w:p>
            <w:pPr>
              <w:pStyle w:val="7"/>
              <w:rPr>
                <w:rFonts w:ascii="Times New Roman"/>
                <w:sz w:val="20"/>
              </w:rPr>
            </w:pPr>
          </w:p>
        </w:tc>
        <w:tc>
          <w:tcPr>
            <w:tcW w:w="2145" w:type="dxa"/>
            <w:vMerge w:val="continue"/>
            <w:tcBorders>
              <w:top w:val="nil"/>
            </w:tcBorders>
            <w:vAlign w:val="top"/>
          </w:tcPr>
          <w:p>
            <w:pPr>
              <w:rPr>
                <w:sz w:val="2"/>
                <w:szCs w:val="2"/>
              </w:rPr>
            </w:pPr>
          </w:p>
        </w:tc>
        <w:tc>
          <w:tcPr>
            <w:tcW w:w="7306" w:type="dxa"/>
            <w:tcBorders>
              <w:top w:val="nil"/>
              <w:bottom w:val="nil"/>
            </w:tcBorders>
            <w:vAlign w:val="top"/>
          </w:tcPr>
          <w:p>
            <w:pPr>
              <w:pStyle w:val="7"/>
              <w:spacing w:before="16" w:line="266" w:lineRule="exact"/>
              <w:ind w:left="108"/>
              <w:rPr>
                <w:sz w:val="21"/>
              </w:rPr>
            </w:pPr>
            <w:r>
              <w:rPr>
                <w:sz w:val="21"/>
              </w:rPr>
              <w:t>建立重大危险源的监测监控系统并进行经常性维护，保持正常运行;（三）定</w:t>
            </w:r>
          </w:p>
        </w:tc>
        <w:tc>
          <w:tcPr>
            <w:tcW w:w="2969" w:type="dxa"/>
            <w:vMerge w:val="continue"/>
            <w:tcBorders>
              <w:top w:val="nil"/>
            </w:tcBorders>
            <w:vAlign w:val="top"/>
          </w:tcPr>
          <w:p>
            <w:pPr>
              <w:rPr>
                <w:sz w:val="2"/>
                <w:szCs w:val="2"/>
              </w:rPr>
            </w:pPr>
          </w:p>
        </w:tc>
        <w:tc>
          <w:tcPr>
            <w:tcW w:w="774" w:type="dxa"/>
            <w:vMerge w:val="continue"/>
            <w:tcBorders>
              <w:top w:val="nil"/>
            </w:tcBorders>
            <w:vAlign w:val="top"/>
          </w:tcPr>
          <w:p>
            <w:pPr>
              <w:rPr>
                <w:sz w:val="2"/>
                <w:szCs w:val="2"/>
              </w:rPr>
            </w:pPr>
          </w:p>
        </w:tc>
      </w:tr>
      <w:tr>
        <w:trPr>
          <w:trHeight w:val="299" w:hRule="atLeast"/>
        </w:trPr>
        <w:tc>
          <w:tcPr>
            <w:tcW w:w="657" w:type="dxa"/>
            <w:tcBorders>
              <w:top w:val="nil"/>
              <w:bottom w:val="nil"/>
            </w:tcBorders>
            <w:vAlign w:val="top"/>
          </w:tcPr>
          <w:p>
            <w:pPr>
              <w:pStyle w:val="7"/>
              <w:rPr>
                <w:rFonts w:ascii="Times New Roman"/>
                <w:sz w:val="20"/>
              </w:rPr>
            </w:pPr>
          </w:p>
        </w:tc>
        <w:tc>
          <w:tcPr>
            <w:tcW w:w="656" w:type="dxa"/>
            <w:vMerge w:val="continue"/>
            <w:tcBorders>
              <w:top w:val="nil"/>
            </w:tcBorders>
            <w:textDirection w:val="tbRl"/>
            <w:vAlign w:val="top"/>
          </w:tcPr>
          <w:p>
            <w:pPr>
              <w:rPr>
                <w:sz w:val="2"/>
                <w:szCs w:val="2"/>
              </w:rPr>
            </w:pPr>
          </w:p>
        </w:tc>
        <w:tc>
          <w:tcPr>
            <w:tcW w:w="711" w:type="dxa"/>
            <w:tcBorders>
              <w:top w:val="nil"/>
              <w:bottom w:val="nil"/>
            </w:tcBorders>
            <w:vAlign w:val="top"/>
          </w:tcPr>
          <w:p>
            <w:pPr>
              <w:pStyle w:val="7"/>
              <w:rPr>
                <w:rFonts w:ascii="Times New Roman"/>
                <w:sz w:val="20"/>
              </w:rPr>
            </w:pPr>
          </w:p>
        </w:tc>
        <w:tc>
          <w:tcPr>
            <w:tcW w:w="2145" w:type="dxa"/>
            <w:vMerge w:val="continue"/>
            <w:tcBorders>
              <w:top w:val="nil"/>
            </w:tcBorders>
            <w:vAlign w:val="top"/>
          </w:tcPr>
          <w:p>
            <w:pPr>
              <w:rPr>
                <w:sz w:val="2"/>
                <w:szCs w:val="2"/>
              </w:rPr>
            </w:pPr>
          </w:p>
        </w:tc>
        <w:tc>
          <w:tcPr>
            <w:tcW w:w="7306" w:type="dxa"/>
            <w:tcBorders>
              <w:top w:val="nil"/>
              <w:bottom w:val="nil"/>
            </w:tcBorders>
            <w:vAlign w:val="top"/>
          </w:tcPr>
          <w:p>
            <w:pPr>
              <w:pStyle w:val="7"/>
              <w:spacing w:before="16" w:line="263" w:lineRule="exact"/>
              <w:ind w:left="108"/>
              <w:rPr>
                <w:sz w:val="21"/>
              </w:rPr>
            </w:pPr>
            <w:r>
              <w:rPr>
                <w:sz w:val="21"/>
              </w:rPr>
              <w:t>期对设施、设备进行检验、检测;（四）制定重大危险源应急预案，每半年至</w:t>
            </w:r>
          </w:p>
        </w:tc>
        <w:tc>
          <w:tcPr>
            <w:tcW w:w="2969" w:type="dxa"/>
            <w:vMerge w:val="continue"/>
            <w:tcBorders>
              <w:top w:val="nil"/>
            </w:tcBorders>
            <w:vAlign w:val="top"/>
          </w:tcPr>
          <w:p>
            <w:pPr>
              <w:rPr>
                <w:sz w:val="2"/>
                <w:szCs w:val="2"/>
              </w:rPr>
            </w:pPr>
          </w:p>
        </w:tc>
        <w:tc>
          <w:tcPr>
            <w:tcW w:w="774" w:type="dxa"/>
            <w:vMerge w:val="continue"/>
            <w:tcBorders>
              <w:top w:val="nil"/>
            </w:tcBorders>
            <w:vAlign w:val="top"/>
          </w:tcPr>
          <w:p>
            <w:pPr>
              <w:rPr>
                <w:sz w:val="2"/>
                <w:szCs w:val="2"/>
              </w:rPr>
            </w:pPr>
          </w:p>
        </w:tc>
      </w:tr>
      <w:tr>
        <w:trPr>
          <w:trHeight w:val="304" w:hRule="atLeast"/>
        </w:trPr>
        <w:tc>
          <w:tcPr>
            <w:tcW w:w="657" w:type="dxa"/>
            <w:tcBorders>
              <w:top w:val="nil"/>
              <w:bottom w:val="nil"/>
            </w:tcBorders>
            <w:vAlign w:val="top"/>
          </w:tcPr>
          <w:p>
            <w:pPr>
              <w:pStyle w:val="7"/>
              <w:spacing w:before="13"/>
              <w:ind w:left="96" w:right="90"/>
              <w:jc w:val="center"/>
              <w:rPr>
                <w:sz w:val="21"/>
              </w:rPr>
            </w:pPr>
            <w:r>
              <w:rPr>
                <w:sz w:val="21"/>
              </w:rPr>
              <w:t>11</w:t>
            </w:r>
          </w:p>
        </w:tc>
        <w:tc>
          <w:tcPr>
            <w:tcW w:w="656" w:type="dxa"/>
            <w:vMerge w:val="continue"/>
            <w:tcBorders>
              <w:top w:val="nil"/>
            </w:tcBorders>
            <w:textDirection w:val="tbRl"/>
            <w:vAlign w:val="top"/>
          </w:tcPr>
          <w:p>
            <w:pPr>
              <w:rPr>
                <w:sz w:val="2"/>
                <w:szCs w:val="2"/>
              </w:rPr>
            </w:pPr>
          </w:p>
        </w:tc>
        <w:tc>
          <w:tcPr>
            <w:tcW w:w="711" w:type="dxa"/>
            <w:tcBorders>
              <w:top w:val="nil"/>
              <w:bottom w:val="nil"/>
            </w:tcBorders>
            <w:vAlign w:val="top"/>
          </w:tcPr>
          <w:p>
            <w:pPr>
              <w:pStyle w:val="7"/>
              <w:rPr>
                <w:rFonts w:ascii="Times New Roman"/>
                <w:sz w:val="20"/>
              </w:rPr>
            </w:pPr>
          </w:p>
        </w:tc>
        <w:tc>
          <w:tcPr>
            <w:tcW w:w="2145" w:type="dxa"/>
            <w:vMerge w:val="continue"/>
            <w:tcBorders>
              <w:top w:val="nil"/>
            </w:tcBorders>
            <w:vAlign w:val="top"/>
          </w:tcPr>
          <w:p>
            <w:pPr>
              <w:rPr>
                <w:sz w:val="2"/>
                <w:szCs w:val="2"/>
              </w:rPr>
            </w:pPr>
          </w:p>
        </w:tc>
        <w:tc>
          <w:tcPr>
            <w:tcW w:w="7306" w:type="dxa"/>
            <w:tcBorders>
              <w:top w:val="nil"/>
              <w:bottom w:val="nil"/>
            </w:tcBorders>
            <w:vAlign w:val="top"/>
          </w:tcPr>
          <w:p>
            <w:pPr>
              <w:pStyle w:val="7"/>
              <w:spacing w:before="18" w:line="266" w:lineRule="exact"/>
              <w:ind w:left="108"/>
              <w:rPr>
                <w:sz w:val="21"/>
              </w:rPr>
            </w:pPr>
            <w:r>
              <w:rPr>
                <w:sz w:val="21"/>
              </w:rPr>
              <w:t>少组织一次演练;（五）定期进行安全评估。</w:t>
            </w:r>
          </w:p>
        </w:tc>
        <w:tc>
          <w:tcPr>
            <w:tcW w:w="2969" w:type="dxa"/>
            <w:vMerge w:val="continue"/>
            <w:tcBorders>
              <w:top w:val="nil"/>
            </w:tcBorders>
            <w:vAlign w:val="top"/>
          </w:tcPr>
          <w:p>
            <w:pPr>
              <w:rPr>
                <w:sz w:val="2"/>
                <w:szCs w:val="2"/>
              </w:rPr>
            </w:pPr>
          </w:p>
        </w:tc>
        <w:tc>
          <w:tcPr>
            <w:tcW w:w="774" w:type="dxa"/>
            <w:vMerge w:val="continue"/>
            <w:tcBorders>
              <w:top w:val="nil"/>
            </w:tcBorders>
            <w:vAlign w:val="top"/>
          </w:tcPr>
          <w:p>
            <w:pPr>
              <w:rPr>
                <w:sz w:val="2"/>
                <w:szCs w:val="2"/>
              </w:rPr>
            </w:pPr>
          </w:p>
        </w:tc>
      </w:tr>
      <w:tr>
        <w:trPr>
          <w:trHeight w:val="302" w:hRule="atLeast"/>
        </w:trPr>
        <w:tc>
          <w:tcPr>
            <w:tcW w:w="657" w:type="dxa"/>
            <w:tcBorders>
              <w:top w:val="nil"/>
              <w:bottom w:val="nil"/>
            </w:tcBorders>
            <w:vAlign w:val="top"/>
          </w:tcPr>
          <w:p>
            <w:pPr>
              <w:pStyle w:val="7"/>
              <w:rPr>
                <w:rFonts w:ascii="Times New Roman"/>
                <w:sz w:val="20"/>
              </w:rPr>
            </w:pPr>
          </w:p>
        </w:tc>
        <w:tc>
          <w:tcPr>
            <w:tcW w:w="656" w:type="dxa"/>
            <w:vMerge w:val="continue"/>
            <w:tcBorders>
              <w:top w:val="nil"/>
            </w:tcBorders>
            <w:textDirection w:val="tbRl"/>
            <w:vAlign w:val="top"/>
          </w:tcPr>
          <w:p>
            <w:pPr>
              <w:rPr>
                <w:sz w:val="2"/>
                <w:szCs w:val="2"/>
              </w:rPr>
            </w:pPr>
          </w:p>
        </w:tc>
        <w:tc>
          <w:tcPr>
            <w:tcW w:w="711" w:type="dxa"/>
            <w:tcBorders>
              <w:top w:val="nil"/>
              <w:bottom w:val="nil"/>
            </w:tcBorders>
            <w:vAlign w:val="top"/>
          </w:tcPr>
          <w:p>
            <w:pPr>
              <w:pStyle w:val="7"/>
              <w:rPr>
                <w:rFonts w:ascii="Times New Roman"/>
                <w:sz w:val="20"/>
              </w:rPr>
            </w:pPr>
          </w:p>
        </w:tc>
        <w:tc>
          <w:tcPr>
            <w:tcW w:w="2145" w:type="dxa"/>
            <w:vMerge w:val="continue"/>
            <w:tcBorders>
              <w:top w:val="nil"/>
            </w:tcBorders>
            <w:vAlign w:val="top"/>
          </w:tcPr>
          <w:p>
            <w:pPr>
              <w:rPr>
                <w:sz w:val="2"/>
                <w:szCs w:val="2"/>
              </w:rPr>
            </w:pPr>
          </w:p>
        </w:tc>
        <w:tc>
          <w:tcPr>
            <w:tcW w:w="7306" w:type="dxa"/>
            <w:tcBorders>
              <w:top w:val="nil"/>
              <w:bottom w:val="nil"/>
            </w:tcBorders>
            <w:vAlign w:val="top"/>
          </w:tcPr>
          <w:p>
            <w:pPr>
              <w:pStyle w:val="7"/>
              <w:spacing w:before="16" w:line="266" w:lineRule="exact"/>
              <w:ind w:left="528"/>
              <w:rPr>
                <w:sz w:val="21"/>
              </w:rPr>
            </w:pPr>
            <w:r>
              <w:rPr>
                <w:sz w:val="21"/>
              </w:rPr>
              <w:t>涉及重大危险源的生产经营单位应当将重大危险源存在的危险因素和应</w:t>
            </w:r>
          </w:p>
        </w:tc>
        <w:tc>
          <w:tcPr>
            <w:tcW w:w="2969" w:type="dxa"/>
            <w:vMerge w:val="continue"/>
            <w:tcBorders>
              <w:top w:val="nil"/>
            </w:tcBorders>
            <w:vAlign w:val="top"/>
          </w:tcPr>
          <w:p>
            <w:pPr>
              <w:rPr>
                <w:sz w:val="2"/>
                <w:szCs w:val="2"/>
              </w:rPr>
            </w:pPr>
          </w:p>
        </w:tc>
        <w:tc>
          <w:tcPr>
            <w:tcW w:w="774" w:type="dxa"/>
            <w:vMerge w:val="continue"/>
            <w:tcBorders>
              <w:top w:val="nil"/>
            </w:tcBorders>
            <w:vAlign w:val="top"/>
          </w:tcPr>
          <w:p>
            <w:pPr>
              <w:rPr>
                <w:sz w:val="2"/>
                <w:szCs w:val="2"/>
              </w:rPr>
            </w:pPr>
          </w:p>
        </w:tc>
      </w:tr>
      <w:tr>
        <w:trPr>
          <w:trHeight w:val="301" w:hRule="atLeast"/>
        </w:trPr>
        <w:tc>
          <w:tcPr>
            <w:tcW w:w="657" w:type="dxa"/>
            <w:tcBorders>
              <w:top w:val="nil"/>
              <w:bottom w:val="nil"/>
            </w:tcBorders>
            <w:vAlign w:val="top"/>
          </w:tcPr>
          <w:p>
            <w:pPr>
              <w:pStyle w:val="7"/>
              <w:rPr>
                <w:rFonts w:ascii="Times New Roman"/>
                <w:sz w:val="20"/>
              </w:rPr>
            </w:pPr>
          </w:p>
        </w:tc>
        <w:tc>
          <w:tcPr>
            <w:tcW w:w="656" w:type="dxa"/>
            <w:vMerge w:val="continue"/>
            <w:tcBorders>
              <w:top w:val="nil"/>
            </w:tcBorders>
            <w:textDirection w:val="tbRl"/>
            <w:vAlign w:val="top"/>
          </w:tcPr>
          <w:p>
            <w:pPr>
              <w:rPr>
                <w:sz w:val="2"/>
                <w:szCs w:val="2"/>
              </w:rPr>
            </w:pPr>
          </w:p>
        </w:tc>
        <w:tc>
          <w:tcPr>
            <w:tcW w:w="711" w:type="dxa"/>
            <w:tcBorders>
              <w:top w:val="nil"/>
              <w:bottom w:val="nil"/>
            </w:tcBorders>
            <w:vAlign w:val="top"/>
          </w:tcPr>
          <w:p>
            <w:pPr>
              <w:pStyle w:val="7"/>
              <w:rPr>
                <w:rFonts w:ascii="Times New Roman"/>
                <w:sz w:val="20"/>
              </w:rPr>
            </w:pPr>
          </w:p>
        </w:tc>
        <w:tc>
          <w:tcPr>
            <w:tcW w:w="2145" w:type="dxa"/>
            <w:vMerge w:val="continue"/>
            <w:tcBorders>
              <w:top w:val="nil"/>
            </w:tcBorders>
            <w:vAlign w:val="top"/>
          </w:tcPr>
          <w:p>
            <w:pPr>
              <w:rPr>
                <w:sz w:val="2"/>
                <w:szCs w:val="2"/>
              </w:rPr>
            </w:pPr>
          </w:p>
        </w:tc>
        <w:tc>
          <w:tcPr>
            <w:tcW w:w="7306" w:type="dxa"/>
            <w:tcBorders>
              <w:top w:val="nil"/>
              <w:bottom w:val="nil"/>
            </w:tcBorders>
            <w:vAlign w:val="top"/>
          </w:tcPr>
          <w:p>
            <w:pPr>
              <w:pStyle w:val="7"/>
              <w:spacing w:before="16" w:line="266" w:lineRule="exact"/>
              <w:ind w:left="108"/>
              <w:rPr>
                <w:sz w:val="21"/>
              </w:rPr>
            </w:pPr>
            <w:r>
              <w:rPr>
                <w:sz w:val="21"/>
              </w:rPr>
              <w:t>急措施及时如实告知从业人员和相关人员，在醒目位置设置警示标志，并按照</w:t>
            </w:r>
          </w:p>
        </w:tc>
        <w:tc>
          <w:tcPr>
            <w:tcW w:w="2969" w:type="dxa"/>
            <w:vMerge w:val="continue"/>
            <w:tcBorders>
              <w:top w:val="nil"/>
            </w:tcBorders>
            <w:vAlign w:val="top"/>
          </w:tcPr>
          <w:p>
            <w:pPr>
              <w:rPr>
                <w:sz w:val="2"/>
                <w:szCs w:val="2"/>
              </w:rPr>
            </w:pPr>
          </w:p>
        </w:tc>
        <w:tc>
          <w:tcPr>
            <w:tcW w:w="774" w:type="dxa"/>
            <w:vMerge w:val="continue"/>
            <w:tcBorders>
              <w:top w:val="nil"/>
            </w:tcBorders>
            <w:vAlign w:val="top"/>
          </w:tcPr>
          <w:p>
            <w:pPr>
              <w:rPr>
                <w:sz w:val="2"/>
                <w:szCs w:val="2"/>
              </w:rPr>
            </w:pPr>
          </w:p>
        </w:tc>
      </w:tr>
      <w:tr>
        <w:trPr>
          <w:trHeight w:val="302" w:hRule="atLeast"/>
        </w:trPr>
        <w:tc>
          <w:tcPr>
            <w:tcW w:w="657" w:type="dxa"/>
            <w:tcBorders>
              <w:top w:val="nil"/>
              <w:bottom w:val="nil"/>
            </w:tcBorders>
            <w:vAlign w:val="top"/>
          </w:tcPr>
          <w:p>
            <w:pPr>
              <w:pStyle w:val="7"/>
              <w:rPr>
                <w:rFonts w:ascii="Times New Roman"/>
                <w:sz w:val="20"/>
              </w:rPr>
            </w:pPr>
          </w:p>
        </w:tc>
        <w:tc>
          <w:tcPr>
            <w:tcW w:w="656" w:type="dxa"/>
            <w:vMerge w:val="continue"/>
            <w:tcBorders>
              <w:top w:val="nil"/>
            </w:tcBorders>
            <w:textDirection w:val="tbRl"/>
            <w:vAlign w:val="top"/>
          </w:tcPr>
          <w:p>
            <w:pPr>
              <w:rPr>
                <w:sz w:val="2"/>
                <w:szCs w:val="2"/>
              </w:rPr>
            </w:pPr>
          </w:p>
        </w:tc>
        <w:tc>
          <w:tcPr>
            <w:tcW w:w="711" w:type="dxa"/>
            <w:tcBorders>
              <w:top w:val="nil"/>
              <w:bottom w:val="nil"/>
            </w:tcBorders>
            <w:vAlign w:val="top"/>
          </w:tcPr>
          <w:p>
            <w:pPr>
              <w:pStyle w:val="7"/>
              <w:spacing w:before="16" w:line="266" w:lineRule="exact"/>
              <w:ind w:left="73" w:right="62"/>
              <w:jc w:val="center"/>
              <w:rPr>
                <w:sz w:val="21"/>
              </w:rPr>
            </w:pPr>
            <w:r>
              <w:rPr>
                <w:sz w:val="21"/>
              </w:rPr>
              <w:t>制 定</w:t>
            </w:r>
          </w:p>
        </w:tc>
        <w:tc>
          <w:tcPr>
            <w:tcW w:w="2145" w:type="dxa"/>
            <w:vMerge w:val="continue"/>
            <w:tcBorders>
              <w:top w:val="nil"/>
            </w:tcBorders>
            <w:vAlign w:val="top"/>
          </w:tcPr>
          <w:p>
            <w:pPr>
              <w:rPr>
                <w:sz w:val="2"/>
                <w:szCs w:val="2"/>
              </w:rPr>
            </w:pPr>
          </w:p>
        </w:tc>
        <w:tc>
          <w:tcPr>
            <w:tcW w:w="7306" w:type="dxa"/>
            <w:tcBorders>
              <w:top w:val="nil"/>
              <w:bottom w:val="nil"/>
            </w:tcBorders>
            <w:vAlign w:val="top"/>
          </w:tcPr>
          <w:p>
            <w:pPr>
              <w:pStyle w:val="7"/>
              <w:spacing w:before="16" w:line="266" w:lineRule="exact"/>
              <w:ind w:left="108"/>
              <w:rPr>
                <w:sz w:val="21"/>
              </w:rPr>
            </w:pPr>
            <w:r>
              <w:rPr>
                <w:sz w:val="21"/>
              </w:rPr>
              <w:t>有关规定将重大危险源及其有关安全措施、应急预案报负有安全生产监督管理</w:t>
            </w:r>
          </w:p>
        </w:tc>
        <w:tc>
          <w:tcPr>
            <w:tcW w:w="2969" w:type="dxa"/>
            <w:vMerge w:val="continue"/>
            <w:tcBorders>
              <w:top w:val="nil"/>
            </w:tcBorders>
            <w:vAlign w:val="top"/>
          </w:tcPr>
          <w:p>
            <w:pPr>
              <w:rPr>
                <w:sz w:val="2"/>
                <w:szCs w:val="2"/>
              </w:rPr>
            </w:pPr>
          </w:p>
        </w:tc>
        <w:tc>
          <w:tcPr>
            <w:tcW w:w="774" w:type="dxa"/>
            <w:vMerge w:val="continue"/>
            <w:tcBorders>
              <w:top w:val="nil"/>
            </w:tcBorders>
            <w:vAlign w:val="top"/>
          </w:tcPr>
          <w:p>
            <w:pPr>
              <w:rPr>
                <w:sz w:val="2"/>
                <w:szCs w:val="2"/>
              </w:rPr>
            </w:pPr>
          </w:p>
        </w:tc>
      </w:tr>
      <w:tr>
        <w:trPr>
          <w:trHeight w:val="302" w:hRule="atLeast"/>
        </w:trPr>
        <w:tc>
          <w:tcPr>
            <w:tcW w:w="657" w:type="dxa"/>
            <w:tcBorders>
              <w:top w:val="nil"/>
              <w:bottom w:val="nil"/>
            </w:tcBorders>
            <w:vAlign w:val="top"/>
          </w:tcPr>
          <w:p>
            <w:pPr>
              <w:pStyle w:val="7"/>
              <w:rPr>
                <w:rFonts w:ascii="Times New Roman"/>
                <w:sz w:val="20"/>
              </w:rPr>
            </w:pPr>
          </w:p>
        </w:tc>
        <w:tc>
          <w:tcPr>
            <w:tcW w:w="656" w:type="dxa"/>
            <w:vMerge w:val="continue"/>
            <w:tcBorders>
              <w:top w:val="nil"/>
            </w:tcBorders>
            <w:textDirection w:val="tbRl"/>
            <w:vAlign w:val="top"/>
          </w:tcPr>
          <w:p>
            <w:pPr>
              <w:rPr>
                <w:sz w:val="2"/>
                <w:szCs w:val="2"/>
              </w:rPr>
            </w:pPr>
          </w:p>
        </w:tc>
        <w:tc>
          <w:tcPr>
            <w:tcW w:w="711" w:type="dxa"/>
            <w:tcBorders>
              <w:top w:val="nil"/>
              <w:bottom w:val="nil"/>
            </w:tcBorders>
            <w:vAlign w:val="top"/>
          </w:tcPr>
          <w:p>
            <w:pPr>
              <w:pStyle w:val="7"/>
              <w:spacing w:before="16" w:line="266" w:lineRule="exact"/>
              <w:ind w:left="73" w:right="62"/>
              <w:jc w:val="center"/>
              <w:rPr>
                <w:sz w:val="21"/>
              </w:rPr>
            </w:pPr>
            <w:r>
              <w:rPr>
                <w:sz w:val="21"/>
              </w:rPr>
              <w:t>风 险</w:t>
            </w:r>
          </w:p>
        </w:tc>
        <w:tc>
          <w:tcPr>
            <w:tcW w:w="2145" w:type="dxa"/>
            <w:vMerge w:val="continue"/>
            <w:tcBorders>
              <w:top w:val="nil"/>
            </w:tcBorders>
            <w:vAlign w:val="top"/>
          </w:tcPr>
          <w:p>
            <w:pPr>
              <w:rPr>
                <w:sz w:val="2"/>
                <w:szCs w:val="2"/>
              </w:rPr>
            </w:pPr>
          </w:p>
        </w:tc>
        <w:tc>
          <w:tcPr>
            <w:tcW w:w="7306" w:type="dxa"/>
            <w:tcBorders>
              <w:top w:val="nil"/>
              <w:bottom w:val="nil"/>
            </w:tcBorders>
            <w:vAlign w:val="top"/>
          </w:tcPr>
          <w:p>
            <w:pPr>
              <w:pStyle w:val="7"/>
              <w:spacing w:before="16" w:line="266" w:lineRule="exact"/>
              <w:ind w:left="108"/>
              <w:rPr>
                <w:sz w:val="21"/>
              </w:rPr>
            </w:pPr>
            <w:r>
              <w:rPr>
                <w:sz w:val="21"/>
              </w:rPr>
              <w:t>职责的部门备案。生产经营单位应当每半年向负有安全生产监督管理职责的部</w:t>
            </w:r>
          </w:p>
        </w:tc>
        <w:tc>
          <w:tcPr>
            <w:tcW w:w="2969" w:type="dxa"/>
            <w:vMerge w:val="continue"/>
            <w:tcBorders>
              <w:top w:val="nil"/>
            </w:tcBorders>
            <w:vAlign w:val="top"/>
          </w:tcPr>
          <w:p>
            <w:pPr>
              <w:rPr>
                <w:sz w:val="2"/>
                <w:szCs w:val="2"/>
              </w:rPr>
            </w:pPr>
          </w:p>
        </w:tc>
        <w:tc>
          <w:tcPr>
            <w:tcW w:w="774" w:type="dxa"/>
            <w:vMerge w:val="continue"/>
            <w:tcBorders>
              <w:top w:val="nil"/>
            </w:tcBorders>
            <w:vAlign w:val="top"/>
          </w:tcPr>
          <w:p>
            <w:pPr>
              <w:rPr>
                <w:sz w:val="2"/>
                <w:szCs w:val="2"/>
              </w:rPr>
            </w:pPr>
          </w:p>
        </w:tc>
      </w:tr>
      <w:tr>
        <w:trPr>
          <w:trHeight w:val="301" w:hRule="atLeast"/>
        </w:trPr>
        <w:tc>
          <w:tcPr>
            <w:tcW w:w="657" w:type="dxa"/>
            <w:tcBorders>
              <w:top w:val="nil"/>
              <w:bottom w:val="nil"/>
            </w:tcBorders>
            <w:vAlign w:val="top"/>
          </w:tcPr>
          <w:p>
            <w:pPr>
              <w:pStyle w:val="7"/>
              <w:rPr>
                <w:rFonts w:ascii="Times New Roman"/>
                <w:sz w:val="20"/>
              </w:rPr>
            </w:pPr>
          </w:p>
        </w:tc>
        <w:tc>
          <w:tcPr>
            <w:tcW w:w="656" w:type="dxa"/>
            <w:vMerge w:val="continue"/>
            <w:tcBorders>
              <w:top w:val="nil"/>
            </w:tcBorders>
            <w:textDirection w:val="tbRl"/>
            <w:vAlign w:val="top"/>
          </w:tcPr>
          <w:p>
            <w:pPr>
              <w:rPr>
                <w:sz w:val="2"/>
                <w:szCs w:val="2"/>
              </w:rPr>
            </w:pPr>
          </w:p>
        </w:tc>
        <w:tc>
          <w:tcPr>
            <w:tcW w:w="711" w:type="dxa"/>
            <w:tcBorders>
              <w:top w:val="nil"/>
              <w:bottom w:val="nil"/>
            </w:tcBorders>
            <w:vAlign w:val="top"/>
          </w:tcPr>
          <w:p>
            <w:pPr>
              <w:pStyle w:val="7"/>
              <w:spacing w:before="16" w:line="266" w:lineRule="exact"/>
              <w:ind w:left="73" w:right="62"/>
              <w:jc w:val="center"/>
              <w:rPr>
                <w:sz w:val="21"/>
              </w:rPr>
            </w:pPr>
            <w:r>
              <w:rPr>
                <w:sz w:val="21"/>
              </w:rPr>
              <w:t>控 制</w:t>
            </w:r>
          </w:p>
        </w:tc>
        <w:tc>
          <w:tcPr>
            <w:tcW w:w="2145" w:type="dxa"/>
            <w:vMerge w:val="continue"/>
            <w:tcBorders>
              <w:top w:val="nil"/>
            </w:tcBorders>
            <w:vAlign w:val="top"/>
          </w:tcPr>
          <w:p>
            <w:pPr>
              <w:rPr>
                <w:sz w:val="2"/>
                <w:szCs w:val="2"/>
              </w:rPr>
            </w:pPr>
          </w:p>
        </w:tc>
        <w:tc>
          <w:tcPr>
            <w:tcW w:w="7306" w:type="dxa"/>
            <w:tcBorders>
              <w:top w:val="nil"/>
              <w:bottom w:val="nil"/>
            </w:tcBorders>
            <w:vAlign w:val="top"/>
          </w:tcPr>
          <w:p>
            <w:pPr>
              <w:pStyle w:val="7"/>
              <w:spacing w:before="16" w:line="266" w:lineRule="exact"/>
              <w:ind w:left="108"/>
              <w:rPr>
                <w:sz w:val="21"/>
              </w:rPr>
            </w:pPr>
            <w:r>
              <w:rPr>
                <w:sz w:val="21"/>
              </w:rPr>
              <w:t>门报告一次本单位重大危险源监控及相应的安全措施、应急措施的实施情况，</w:t>
            </w:r>
          </w:p>
        </w:tc>
        <w:tc>
          <w:tcPr>
            <w:tcW w:w="2969" w:type="dxa"/>
            <w:vMerge w:val="continue"/>
            <w:tcBorders>
              <w:top w:val="nil"/>
            </w:tcBorders>
            <w:vAlign w:val="top"/>
          </w:tcPr>
          <w:p>
            <w:pPr>
              <w:rPr>
                <w:sz w:val="2"/>
                <w:szCs w:val="2"/>
              </w:rPr>
            </w:pPr>
          </w:p>
        </w:tc>
        <w:tc>
          <w:tcPr>
            <w:tcW w:w="774" w:type="dxa"/>
            <w:vMerge w:val="continue"/>
            <w:tcBorders>
              <w:top w:val="nil"/>
            </w:tcBorders>
            <w:vAlign w:val="top"/>
          </w:tcPr>
          <w:p>
            <w:pPr>
              <w:rPr>
                <w:sz w:val="2"/>
                <w:szCs w:val="2"/>
              </w:rPr>
            </w:pPr>
          </w:p>
        </w:tc>
      </w:tr>
      <w:tr>
        <w:trPr>
          <w:trHeight w:val="146" w:hRule="atLeast"/>
        </w:trPr>
        <w:tc>
          <w:tcPr>
            <w:tcW w:w="657" w:type="dxa"/>
            <w:tcBorders>
              <w:top w:val="nil"/>
            </w:tcBorders>
            <w:vAlign w:val="top"/>
          </w:tcPr>
          <w:p>
            <w:pPr>
              <w:pStyle w:val="7"/>
              <w:rPr>
                <w:rFonts w:ascii="Times New Roman"/>
                <w:sz w:val="8"/>
              </w:rPr>
            </w:pPr>
          </w:p>
        </w:tc>
        <w:tc>
          <w:tcPr>
            <w:tcW w:w="656" w:type="dxa"/>
            <w:vMerge w:val="continue"/>
            <w:tcBorders>
              <w:top w:val="nil"/>
            </w:tcBorders>
            <w:textDirection w:val="tbRl"/>
            <w:vAlign w:val="top"/>
          </w:tcPr>
          <w:p>
            <w:pPr>
              <w:rPr>
                <w:sz w:val="2"/>
                <w:szCs w:val="2"/>
              </w:rPr>
            </w:pPr>
          </w:p>
        </w:tc>
        <w:tc>
          <w:tcPr>
            <w:tcW w:w="711" w:type="dxa"/>
            <w:vMerge w:val="restart"/>
            <w:tcBorders>
              <w:top w:val="nil"/>
              <w:bottom w:val="nil"/>
            </w:tcBorders>
            <w:vAlign w:val="top"/>
          </w:tcPr>
          <w:p>
            <w:pPr>
              <w:pStyle w:val="7"/>
              <w:spacing w:before="16"/>
              <w:ind w:left="108"/>
              <w:rPr>
                <w:sz w:val="21"/>
              </w:rPr>
            </w:pPr>
            <w:r>
              <w:rPr>
                <w:sz w:val="21"/>
              </w:rPr>
              <w:t>措施</w:t>
            </w:r>
          </w:p>
        </w:tc>
        <w:tc>
          <w:tcPr>
            <w:tcW w:w="2145" w:type="dxa"/>
            <w:vMerge w:val="continue"/>
            <w:tcBorders>
              <w:top w:val="nil"/>
            </w:tcBorders>
            <w:vAlign w:val="top"/>
          </w:tcPr>
          <w:p>
            <w:pPr>
              <w:rPr>
                <w:sz w:val="2"/>
                <w:szCs w:val="2"/>
              </w:rPr>
            </w:pPr>
          </w:p>
        </w:tc>
        <w:tc>
          <w:tcPr>
            <w:tcW w:w="7306" w:type="dxa"/>
            <w:vMerge w:val="restart"/>
            <w:tcBorders>
              <w:top w:val="nil"/>
              <w:bottom w:val="nil"/>
            </w:tcBorders>
            <w:vAlign w:val="top"/>
          </w:tcPr>
          <w:p>
            <w:pPr>
              <w:pStyle w:val="7"/>
              <w:spacing w:before="16"/>
              <w:ind w:left="108"/>
              <w:rPr>
                <w:sz w:val="21"/>
              </w:rPr>
            </w:pPr>
            <w:r>
              <w:rPr>
                <w:sz w:val="21"/>
              </w:rPr>
              <w:t>在重大危险源发生变化时应当及时报告。</w:t>
            </w:r>
          </w:p>
        </w:tc>
        <w:tc>
          <w:tcPr>
            <w:tcW w:w="2969" w:type="dxa"/>
            <w:vMerge w:val="continue"/>
            <w:tcBorders>
              <w:top w:val="nil"/>
            </w:tcBorders>
            <w:vAlign w:val="top"/>
          </w:tcPr>
          <w:p>
            <w:pPr>
              <w:rPr>
                <w:sz w:val="2"/>
                <w:szCs w:val="2"/>
              </w:rPr>
            </w:pPr>
          </w:p>
        </w:tc>
        <w:tc>
          <w:tcPr>
            <w:tcW w:w="774" w:type="dxa"/>
            <w:vMerge w:val="continue"/>
            <w:tcBorders>
              <w:top w:val="nil"/>
            </w:tcBorders>
            <w:vAlign w:val="top"/>
          </w:tcPr>
          <w:p>
            <w:pPr>
              <w:rPr>
                <w:sz w:val="2"/>
                <w:szCs w:val="2"/>
              </w:rPr>
            </w:pPr>
          </w:p>
        </w:tc>
      </w:tr>
      <w:tr>
        <w:trPr>
          <w:trHeight w:val="301" w:hRule="atLeast"/>
        </w:trPr>
        <w:tc>
          <w:tcPr>
            <w:tcW w:w="657" w:type="dxa"/>
            <w:tcBorders>
              <w:bottom w:val="nil"/>
            </w:tcBorders>
            <w:vAlign w:val="top"/>
          </w:tcPr>
          <w:p>
            <w:pPr>
              <w:pStyle w:val="7"/>
              <w:rPr>
                <w:rFonts w:ascii="Times New Roman"/>
                <w:sz w:val="20"/>
              </w:rPr>
            </w:pPr>
          </w:p>
        </w:tc>
        <w:tc>
          <w:tcPr>
            <w:tcW w:w="656" w:type="dxa"/>
            <w:vMerge w:val="continue"/>
            <w:tcBorders>
              <w:top w:val="nil"/>
            </w:tcBorders>
            <w:textDirection w:val="tbRl"/>
            <w:vAlign w:val="top"/>
          </w:tcPr>
          <w:p>
            <w:pPr>
              <w:rPr>
                <w:sz w:val="2"/>
                <w:szCs w:val="2"/>
              </w:rPr>
            </w:pPr>
          </w:p>
        </w:tc>
        <w:tc>
          <w:tcPr>
            <w:tcW w:w="711" w:type="dxa"/>
            <w:vMerge w:val="continue"/>
            <w:tcBorders>
              <w:top w:val="nil"/>
              <w:bottom w:val="nil"/>
            </w:tcBorders>
            <w:vAlign w:val="top"/>
          </w:tcPr>
          <w:p>
            <w:pPr>
              <w:rPr>
                <w:sz w:val="2"/>
                <w:szCs w:val="2"/>
              </w:rPr>
            </w:pPr>
          </w:p>
        </w:tc>
        <w:tc>
          <w:tcPr>
            <w:tcW w:w="2145" w:type="dxa"/>
            <w:vMerge w:val="restart"/>
            <w:vAlign w:val="top"/>
          </w:tcPr>
          <w:p>
            <w:pPr>
              <w:pStyle w:val="7"/>
              <w:spacing w:before="20" w:line="278" w:lineRule="auto"/>
              <w:ind w:left="108" w:right="97" w:firstLine="208"/>
              <w:jc w:val="both"/>
              <w:rPr>
                <w:sz w:val="21"/>
              </w:rPr>
            </w:pPr>
            <w:r>
              <w:rPr>
                <w:sz w:val="21"/>
              </w:rPr>
              <w:t>风险控制措施应在实施前进行评审，评审内容至少包括措施的可行性和有效性、是否使风险降低至可接受风险、是否产生新的风险、是否已选定最佳解决方案等内</w:t>
            </w:r>
          </w:p>
          <w:p>
            <w:pPr>
              <w:pStyle w:val="7"/>
              <w:spacing w:line="268" w:lineRule="exact"/>
              <w:ind w:left="108"/>
              <w:rPr>
                <w:sz w:val="21"/>
              </w:rPr>
            </w:pPr>
            <w:r>
              <w:rPr>
                <w:sz w:val="21"/>
              </w:rPr>
              <w:t>容。</w:t>
            </w:r>
          </w:p>
        </w:tc>
        <w:tc>
          <w:tcPr>
            <w:tcW w:w="7306" w:type="dxa"/>
            <w:vMerge w:val="continue"/>
            <w:tcBorders>
              <w:top w:val="nil"/>
              <w:bottom w:val="nil"/>
            </w:tcBorders>
            <w:vAlign w:val="top"/>
          </w:tcPr>
          <w:p>
            <w:pPr>
              <w:rPr>
                <w:sz w:val="2"/>
                <w:szCs w:val="2"/>
              </w:rPr>
            </w:pPr>
          </w:p>
        </w:tc>
        <w:tc>
          <w:tcPr>
            <w:tcW w:w="2969" w:type="dxa"/>
            <w:vMerge w:val="continue"/>
            <w:tcBorders>
              <w:top w:val="nil"/>
            </w:tcBorders>
            <w:vAlign w:val="top"/>
          </w:tcPr>
          <w:p>
            <w:pPr>
              <w:rPr>
                <w:sz w:val="2"/>
                <w:szCs w:val="2"/>
              </w:rPr>
            </w:pPr>
          </w:p>
        </w:tc>
        <w:tc>
          <w:tcPr>
            <w:tcW w:w="774" w:type="dxa"/>
            <w:vMerge w:val="restart"/>
            <w:vAlign w:val="top"/>
          </w:tcPr>
          <w:p>
            <w:pPr>
              <w:pStyle w:val="7"/>
              <w:rPr>
                <w:rFonts w:ascii="Times New Roman"/>
                <w:sz w:val="20"/>
              </w:rPr>
            </w:pPr>
          </w:p>
        </w:tc>
      </w:tr>
      <w:tr>
        <w:trPr>
          <w:trHeight w:val="458" w:hRule="atLeast"/>
        </w:trPr>
        <w:tc>
          <w:tcPr>
            <w:tcW w:w="657" w:type="dxa"/>
            <w:tcBorders>
              <w:top w:val="nil"/>
              <w:bottom w:val="nil"/>
            </w:tcBorders>
            <w:vAlign w:val="top"/>
          </w:tcPr>
          <w:p>
            <w:pPr>
              <w:pStyle w:val="7"/>
              <w:rPr>
                <w:rFonts w:ascii="Times New Roman"/>
                <w:sz w:val="20"/>
              </w:rPr>
            </w:pPr>
          </w:p>
        </w:tc>
        <w:tc>
          <w:tcPr>
            <w:tcW w:w="656" w:type="dxa"/>
            <w:vMerge w:val="continue"/>
            <w:tcBorders>
              <w:top w:val="nil"/>
            </w:tcBorders>
            <w:textDirection w:val="tbRl"/>
            <w:vAlign w:val="top"/>
          </w:tcPr>
          <w:p>
            <w:pPr>
              <w:rPr>
                <w:sz w:val="2"/>
                <w:szCs w:val="2"/>
              </w:rPr>
            </w:pPr>
          </w:p>
        </w:tc>
        <w:tc>
          <w:tcPr>
            <w:tcW w:w="711" w:type="dxa"/>
            <w:tcBorders>
              <w:top w:val="nil"/>
              <w:bottom w:val="nil"/>
            </w:tcBorders>
            <w:vAlign w:val="top"/>
          </w:tcPr>
          <w:p>
            <w:pPr>
              <w:pStyle w:val="7"/>
              <w:rPr>
                <w:rFonts w:ascii="Times New Roman"/>
                <w:sz w:val="20"/>
              </w:rPr>
            </w:pPr>
          </w:p>
        </w:tc>
        <w:tc>
          <w:tcPr>
            <w:tcW w:w="2145" w:type="dxa"/>
            <w:vMerge w:val="continue"/>
            <w:tcBorders>
              <w:top w:val="nil"/>
            </w:tcBorders>
            <w:vAlign w:val="top"/>
          </w:tcPr>
          <w:p>
            <w:pPr>
              <w:rPr>
                <w:sz w:val="2"/>
                <w:szCs w:val="2"/>
              </w:rPr>
            </w:pPr>
          </w:p>
        </w:tc>
        <w:tc>
          <w:tcPr>
            <w:tcW w:w="7306" w:type="dxa"/>
            <w:tcBorders>
              <w:top w:val="nil"/>
              <w:bottom w:val="nil"/>
            </w:tcBorders>
            <w:vAlign w:val="top"/>
          </w:tcPr>
          <w:p>
            <w:pPr>
              <w:pStyle w:val="7"/>
              <w:tabs>
                <w:tab w:val="left" w:pos="2326"/>
              </w:tabs>
              <w:spacing w:before="172" w:line="266" w:lineRule="exact"/>
              <w:ind w:left="528"/>
              <w:rPr>
                <w:sz w:val="21"/>
              </w:rPr>
            </w:pPr>
            <w:r>
              <w:rPr>
                <w:sz w:val="21"/>
              </w:rPr>
              <w:t>《</w:t>
            </w:r>
            <w:r>
              <w:rPr>
                <w:spacing w:val="4"/>
                <w:sz w:val="21"/>
              </w:rPr>
              <w:t>办</w:t>
            </w:r>
            <w:r>
              <w:rPr>
                <w:sz w:val="21"/>
              </w:rPr>
              <w:t>法》第</w:t>
            </w:r>
            <w:r>
              <w:rPr>
                <w:spacing w:val="-53"/>
                <w:sz w:val="21"/>
              </w:rPr>
              <w:t xml:space="preserve"> </w:t>
            </w:r>
            <w:r>
              <w:rPr>
                <w:sz w:val="21"/>
              </w:rPr>
              <w:t>10</w:t>
            </w:r>
            <w:r>
              <w:rPr>
                <w:spacing w:val="-49"/>
                <w:sz w:val="21"/>
              </w:rPr>
              <w:t xml:space="preserve"> </w:t>
            </w:r>
            <w:r>
              <w:rPr>
                <w:sz w:val="21"/>
              </w:rPr>
              <w:t>条</w:t>
            </w:r>
            <w:r>
              <w:rPr>
                <w:sz w:val="21"/>
              </w:rPr>
              <w:tab/>
            </w:r>
            <w:r>
              <w:rPr>
                <w:sz w:val="21"/>
              </w:rPr>
              <w:t>生</w:t>
            </w:r>
            <w:r>
              <w:rPr>
                <w:spacing w:val="4"/>
                <w:sz w:val="21"/>
              </w:rPr>
              <w:t>产</w:t>
            </w:r>
            <w:r>
              <w:rPr>
                <w:sz w:val="21"/>
              </w:rPr>
              <w:t>经营单</w:t>
            </w:r>
            <w:r>
              <w:rPr>
                <w:spacing w:val="4"/>
                <w:sz w:val="21"/>
              </w:rPr>
              <w:t>位</w:t>
            </w:r>
            <w:r>
              <w:rPr>
                <w:sz w:val="21"/>
              </w:rPr>
              <w:t>应当根</w:t>
            </w:r>
            <w:r>
              <w:rPr>
                <w:spacing w:val="4"/>
                <w:sz w:val="21"/>
              </w:rPr>
              <w:t>据</w:t>
            </w:r>
            <w:r>
              <w:rPr>
                <w:sz w:val="21"/>
              </w:rPr>
              <w:t>风险</w:t>
            </w:r>
            <w:r>
              <w:rPr>
                <w:spacing w:val="4"/>
                <w:sz w:val="21"/>
              </w:rPr>
              <w:t>辨</w:t>
            </w:r>
            <w:r>
              <w:rPr>
                <w:sz w:val="21"/>
              </w:rPr>
              <w:t>识和分</w:t>
            </w:r>
            <w:r>
              <w:rPr>
                <w:spacing w:val="4"/>
                <w:sz w:val="21"/>
              </w:rPr>
              <w:t>级</w:t>
            </w:r>
            <w:r>
              <w:rPr>
                <w:sz w:val="21"/>
              </w:rPr>
              <w:t>结果</w:t>
            </w:r>
            <w:r>
              <w:rPr>
                <w:spacing w:val="4"/>
                <w:sz w:val="21"/>
              </w:rPr>
              <w:t>，</w:t>
            </w:r>
            <w:r>
              <w:rPr>
                <w:sz w:val="21"/>
              </w:rPr>
              <w:t>编制风</w:t>
            </w:r>
          </w:p>
        </w:tc>
        <w:tc>
          <w:tcPr>
            <w:tcW w:w="2969" w:type="dxa"/>
            <w:vMerge w:val="continue"/>
            <w:tcBorders>
              <w:top w:val="nil"/>
            </w:tcBorders>
            <w:vAlign w:val="top"/>
          </w:tcPr>
          <w:p>
            <w:pPr>
              <w:rPr>
                <w:sz w:val="2"/>
                <w:szCs w:val="2"/>
              </w:rPr>
            </w:pPr>
          </w:p>
        </w:tc>
        <w:tc>
          <w:tcPr>
            <w:tcW w:w="774" w:type="dxa"/>
            <w:vMerge w:val="continue"/>
            <w:tcBorders>
              <w:top w:val="nil"/>
            </w:tcBorders>
            <w:vAlign w:val="top"/>
          </w:tcPr>
          <w:p>
            <w:pPr>
              <w:rPr>
                <w:sz w:val="2"/>
                <w:szCs w:val="2"/>
              </w:rPr>
            </w:pPr>
          </w:p>
        </w:tc>
      </w:tr>
      <w:tr>
        <w:trPr>
          <w:trHeight w:val="301" w:hRule="atLeast"/>
        </w:trPr>
        <w:tc>
          <w:tcPr>
            <w:tcW w:w="657" w:type="dxa"/>
            <w:tcBorders>
              <w:top w:val="nil"/>
              <w:bottom w:val="nil"/>
            </w:tcBorders>
            <w:vAlign w:val="top"/>
          </w:tcPr>
          <w:p>
            <w:pPr>
              <w:pStyle w:val="7"/>
              <w:rPr>
                <w:rFonts w:ascii="Times New Roman"/>
                <w:sz w:val="20"/>
              </w:rPr>
            </w:pPr>
          </w:p>
        </w:tc>
        <w:tc>
          <w:tcPr>
            <w:tcW w:w="656" w:type="dxa"/>
            <w:vMerge w:val="continue"/>
            <w:tcBorders>
              <w:top w:val="nil"/>
            </w:tcBorders>
            <w:textDirection w:val="tbRl"/>
            <w:vAlign w:val="top"/>
          </w:tcPr>
          <w:p>
            <w:pPr>
              <w:rPr>
                <w:sz w:val="2"/>
                <w:szCs w:val="2"/>
              </w:rPr>
            </w:pPr>
          </w:p>
        </w:tc>
        <w:tc>
          <w:tcPr>
            <w:tcW w:w="711" w:type="dxa"/>
            <w:tcBorders>
              <w:top w:val="nil"/>
              <w:bottom w:val="nil"/>
            </w:tcBorders>
            <w:vAlign w:val="top"/>
          </w:tcPr>
          <w:p>
            <w:pPr>
              <w:pStyle w:val="7"/>
              <w:rPr>
                <w:rFonts w:ascii="Times New Roman"/>
                <w:sz w:val="20"/>
              </w:rPr>
            </w:pPr>
          </w:p>
        </w:tc>
        <w:tc>
          <w:tcPr>
            <w:tcW w:w="2145" w:type="dxa"/>
            <w:vMerge w:val="continue"/>
            <w:tcBorders>
              <w:top w:val="nil"/>
            </w:tcBorders>
            <w:vAlign w:val="top"/>
          </w:tcPr>
          <w:p>
            <w:pPr>
              <w:rPr>
                <w:sz w:val="2"/>
                <w:szCs w:val="2"/>
              </w:rPr>
            </w:pPr>
          </w:p>
        </w:tc>
        <w:tc>
          <w:tcPr>
            <w:tcW w:w="7306" w:type="dxa"/>
            <w:tcBorders>
              <w:top w:val="nil"/>
              <w:bottom w:val="nil"/>
            </w:tcBorders>
            <w:vAlign w:val="top"/>
          </w:tcPr>
          <w:p>
            <w:pPr>
              <w:pStyle w:val="7"/>
              <w:spacing w:before="16" w:line="266" w:lineRule="exact"/>
              <w:ind w:left="108"/>
              <w:rPr>
                <w:sz w:val="21"/>
              </w:rPr>
            </w:pPr>
            <w:r>
              <w:rPr>
                <w:sz w:val="21"/>
              </w:rPr>
              <w:t>险管控清单，实施风险分级管控。风险管控清单应当包括风险点名称、风险描</w:t>
            </w:r>
          </w:p>
        </w:tc>
        <w:tc>
          <w:tcPr>
            <w:tcW w:w="2969" w:type="dxa"/>
            <w:vMerge w:val="continue"/>
            <w:tcBorders>
              <w:top w:val="nil"/>
            </w:tcBorders>
            <w:vAlign w:val="top"/>
          </w:tcPr>
          <w:p>
            <w:pPr>
              <w:rPr>
                <w:sz w:val="2"/>
                <w:szCs w:val="2"/>
              </w:rPr>
            </w:pPr>
          </w:p>
        </w:tc>
        <w:tc>
          <w:tcPr>
            <w:tcW w:w="774" w:type="dxa"/>
            <w:vMerge w:val="continue"/>
            <w:tcBorders>
              <w:top w:val="nil"/>
            </w:tcBorders>
            <w:vAlign w:val="top"/>
          </w:tcPr>
          <w:p>
            <w:pPr>
              <w:rPr>
                <w:sz w:val="2"/>
                <w:szCs w:val="2"/>
              </w:rPr>
            </w:pPr>
          </w:p>
        </w:tc>
      </w:tr>
      <w:tr>
        <w:trPr>
          <w:trHeight w:val="613" w:hRule="atLeast"/>
        </w:trPr>
        <w:tc>
          <w:tcPr>
            <w:tcW w:w="657" w:type="dxa"/>
            <w:tcBorders>
              <w:top w:val="nil"/>
              <w:bottom w:val="nil"/>
            </w:tcBorders>
            <w:vAlign w:val="top"/>
          </w:tcPr>
          <w:p>
            <w:pPr>
              <w:pStyle w:val="7"/>
              <w:spacing w:before="177"/>
              <w:ind w:left="96" w:right="90"/>
              <w:jc w:val="center"/>
              <w:rPr>
                <w:sz w:val="21"/>
              </w:rPr>
            </w:pPr>
            <w:r>
              <w:rPr>
                <w:sz w:val="21"/>
              </w:rPr>
              <w:t>12</w:t>
            </w:r>
          </w:p>
        </w:tc>
        <w:tc>
          <w:tcPr>
            <w:tcW w:w="656" w:type="dxa"/>
            <w:vMerge w:val="continue"/>
            <w:tcBorders>
              <w:top w:val="nil"/>
            </w:tcBorders>
            <w:textDirection w:val="tbRl"/>
            <w:vAlign w:val="top"/>
          </w:tcPr>
          <w:p>
            <w:pPr>
              <w:rPr>
                <w:sz w:val="2"/>
                <w:szCs w:val="2"/>
              </w:rPr>
            </w:pPr>
          </w:p>
        </w:tc>
        <w:tc>
          <w:tcPr>
            <w:tcW w:w="711" w:type="dxa"/>
            <w:tcBorders>
              <w:top w:val="nil"/>
              <w:bottom w:val="nil"/>
            </w:tcBorders>
            <w:vAlign w:val="top"/>
          </w:tcPr>
          <w:p>
            <w:pPr>
              <w:pStyle w:val="7"/>
              <w:rPr>
                <w:rFonts w:ascii="Times New Roman"/>
                <w:sz w:val="20"/>
              </w:rPr>
            </w:pPr>
          </w:p>
        </w:tc>
        <w:tc>
          <w:tcPr>
            <w:tcW w:w="2145" w:type="dxa"/>
            <w:vMerge w:val="continue"/>
            <w:tcBorders>
              <w:top w:val="nil"/>
            </w:tcBorders>
            <w:vAlign w:val="top"/>
          </w:tcPr>
          <w:p>
            <w:pPr>
              <w:rPr>
                <w:sz w:val="2"/>
                <w:szCs w:val="2"/>
              </w:rPr>
            </w:pPr>
          </w:p>
        </w:tc>
        <w:tc>
          <w:tcPr>
            <w:tcW w:w="7306" w:type="dxa"/>
            <w:tcBorders>
              <w:top w:val="nil"/>
              <w:bottom w:val="nil"/>
            </w:tcBorders>
            <w:vAlign w:val="top"/>
          </w:tcPr>
          <w:p>
            <w:pPr>
              <w:pStyle w:val="7"/>
              <w:spacing w:before="16"/>
              <w:ind w:left="108"/>
              <w:rPr>
                <w:sz w:val="21"/>
              </w:rPr>
            </w:pPr>
            <w:r>
              <w:rPr>
                <w:sz w:val="21"/>
              </w:rPr>
              <w:t>述、可能导致后果、风险等级、风险管控措施、管控层级、排查频次、责任部</w:t>
            </w:r>
          </w:p>
          <w:p>
            <w:pPr>
              <w:pStyle w:val="7"/>
              <w:spacing w:before="43" w:line="266" w:lineRule="exact"/>
              <w:ind w:left="108" w:right="-15"/>
              <w:rPr>
                <w:sz w:val="21"/>
              </w:rPr>
            </w:pPr>
            <w:r>
              <w:rPr>
                <w:spacing w:val="-12"/>
                <w:w w:val="95"/>
                <w:sz w:val="21"/>
              </w:rPr>
              <w:t>门和责任人等内容。对重大风险应当编制专项应急预案，并建立包含风险部位、</w:t>
            </w:r>
          </w:p>
        </w:tc>
        <w:tc>
          <w:tcPr>
            <w:tcW w:w="2969" w:type="dxa"/>
            <w:vMerge w:val="continue"/>
            <w:tcBorders>
              <w:top w:val="nil"/>
            </w:tcBorders>
            <w:vAlign w:val="top"/>
          </w:tcPr>
          <w:p>
            <w:pPr>
              <w:rPr>
                <w:sz w:val="2"/>
                <w:szCs w:val="2"/>
              </w:rPr>
            </w:pPr>
          </w:p>
        </w:tc>
        <w:tc>
          <w:tcPr>
            <w:tcW w:w="774" w:type="dxa"/>
            <w:vMerge w:val="continue"/>
            <w:tcBorders>
              <w:top w:val="nil"/>
            </w:tcBorders>
            <w:vAlign w:val="top"/>
          </w:tcPr>
          <w:p>
            <w:pPr>
              <w:rPr>
                <w:sz w:val="2"/>
                <w:szCs w:val="2"/>
              </w:rPr>
            </w:pPr>
          </w:p>
        </w:tc>
      </w:tr>
      <w:tr>
        <w:trPr>
          <w:trHeight w:val="302" w:hRule="atLeast"/>
        </w:trPr>
        <w:tc>
          <w:tcPr>
            <w:tcW w:w="657" w:type="dxa"/>
            <w:tcBorders>
              <w:top w:val="nil"/>
              <w:bottom w:val="nil"/>
            </w:tcBorders>
            <w:vAlign w:val="top"/>
          </w:tcPr>
          <w:p>
            <w:pPr>
              <w:pStyle w:val="7"/>
              <w:rPr>
                <w:rFonts w:ascii="Times New Roman"/>
                <w:sz w:val="20"/>
              </w:rPr>
            </w:pPr>
          </w:p>
        </w:tc>
        <w:tc>
          <w:tcPr>
            <w:tcW w:w="656" w:type="dxa"/>
            <w:vMerge w:val="continue"/>
            <w:tcBorders>
              <w:top w:val="nil"/>
            </w:tcBorders>
            <w:textDirection w:val="tbRl"/>
            <w:vAlign w:val="top"/>
          </w:tcPr>
          <w:p>
            <w:pPr>
              <w:rPr>
                <w:sz w:val="2"/>
                <w:szCs w:val="2"/>
              </w:rPr>
            </w:pPr>
          </w:p>
        </w:tc>
        <w:tc>
          <w:tcPr>
            <w:tcW w:w="711" w:type="dxa"/>
            <w:tcBorders>
              <w:top w:val="nil"/>
              <w:bottom w:val="nil"/>
            </w:tcBorders>
            <w:vAlign w:val="top"/>
          </w:tcPr>
          <w:p>
            <w:pPr>
              <w:pStyle w:val="7"/>
              <w:rPr>
                <w:rFonts w:ascii="Times New Roman"/>
                <w:sz w:val="20"/>
              </w:rPr>
            </w:pPr>
          </w:p>
        </w:tc>
        <w:tc>
          <w:tcPr>
            <w:tcW w:w="2145" w:type="dxa"/>
            <w:vMerge w:val="continue"/>
            <w:tcBorders>
              <w:top w:val="nil"/>
            </w:tcBorders>
            <w:vAlign w:val="top"/>
          </w:tcPr>
          <w:p>
            <w:pPr>
              <w:rPr>
                <w:sz w:val="2"/>
                <w:szCs w:val="2"/>
              </w:rPr>
            </w:pPr>
          </w:p>
        </w:tc>
        <w:tc>
          <w:tcPr>
            <w:tcW w:w="7306" w:type="dxa"/>
            <w:tcBorders>
              <w:top w:val="nil"/>
              <w:bottom w:val="nil"/>
            </w:tcBorders>
            <w:vAlign w:val="top"/>
          </w:tcPr>
          <w:p>
            <w:pPr>
              <w:pStyle w:val="7"/>
              <w:spacing w:before="16" w:line="266" w:lineRule="exact"/>
              <w:ind w:left="108"/>
              <w:rPr>
                <w:sz w:val="21"/>
              </w:rPr>
            </w:pPr>
            <w:r>
              <w:rPr>
                <w:sz w:val="21"/>
              </w:rPr>
              <w:t>责任部门、责任人、风险评估情况的档案，档案信息发生变化的应当及时更新</w:t>
            </w:r>
          </w:p>
        </w:tc>
        <w:tc>
          <w:tcPr>
            <w:tcW w:w="2969" w:type="dxa"/>
            <w:vMerge w:val="continue"/>
            <w:tcBorders>
              <w:top w:val="nil"/>
            </w:tcBorders>
            <w:vAlign w:val="top"/>
          </w:tcPr>
          <w:p>
            <w:pPr>
              <w:rPr>
                <w:sz w:val="2"/>
                <w:szCs w:val="2"/>
              </w:rPr>
            </w:pPr>
          </w:p>
        </w:tc>
        <w:tc>
          <w:tcPr>
            <w:tcW w:w="774" w:type="dxa"/>
            <w:vMerge w:val="continue"/>
            <w:tcBorders>
              <w:top w:val="nil"/>
            </w:tcBorders>
            <w:vAlign w:val="top"/>
          </w:tcPr>
          <w:p>
            <w:pPr>
              <w:rPr>
                <w:sz w:val="2"/>
                <w:szCs w:val="2"/>
              </w:rPr>
            </w:pPr>
          </w:p>
        </w:tc>
      </w:tr>
      <w:tr>
        <w:trPr>
          <w:trHeight w:val="778" w:hRule="atLeast"/>
        </w:trPr>
        <w:tc>
          <w:tcPr>
            <w:tcW w:w="657" w:type="dxa"/>
            <w:tcBorders>
              <w:top w:val="nil"/>
            </w:tcBorders>
            <w:vAlign w:val="top"/>
          </w:tcPr>
          <w:p>
            <w:pPr>
              <w:pStyle w:val="7"/>
              <w:rPr>
                <w:rFonts w:ascii="Times New Roman"/>
                <w:sz w:val="20"/>
              </w:rPr>
            </w:pPr>
          </w:p>
        </w:tc>
        <w:tc>
          <w:tcPr>
            <w:tcW w:w="656" w:type="dxa"/>
            <w:vMerge w:val="continue"/>
            <w:tcBorders>
              <w:top w:val="nil"/>
            </w:tcBorders>
            <w:textDirection w:val="tbRl"/>
            <w:vAlign w:val="top"/>
          </w:tcPr>
          <w:p>
            <w:pPr>
              <w:rPr>
                <w:sz w:val="2"/>
                <w:szCs w:val="2"/>
              </w:rPr>
            </w:pPr>
          </w:p>
        </w:tc>
        <w:tc>
          <w:tcPr>
            <w:tcW w:w="711" w:type="dxa"/>
            <w:tcBorders>
              <w:top w:val="nil"/>
            </w:tcBorders>
            <w:vAlign w:val="top"/>
          </w:tcPr>
          <w:p>
            <w:pPr>
              <w:pStyle w:val="7"/>
              <w:rPr>
                <w:rFonts w:ascii="Times New Roman"/>
                <w:sz w:val="20"/>
              </w:rPr>
            </w:pPr>
          </w:p>
        </w:tc>
        <w:tc>
          <w:tcPr>
            <w:tcW w:w="2145" w:type="dxa"/>
            <w:vMerge w:val="continue"/>
            <w:tcBorders>
              <w:top w:val="nil"/>
            </w:tcBorders>
            <w:vAlign w:val="top"/>
          </w:tcPr>
          <w:p>
            <w:pPr>
              <w:rPr>
                <w:sz w:val="2"/>
                <w:szCs w:val="2"/>
              </w:rPr>
            </w:pPr>
          </w:p>
        </w:tc>
        <w:tc>
          <w:tcPr>
            <w:tcW w:w="7306" w:type="dxa"/>
            <w:tcBorders>
              <w:top w:val="nil"/>
            </w:tcBorders>
            <w:vAlign w:val="top"/>
          </w:tcPr>
          <w:p>
            <w:pPr>
              <w:pStyle w:val="7"/>
              <w:spacing w:before="16"/>
              <w:ind w:left="108"/>
              <w:rPr>
                <w:sz w:val="21"/>
              </w:rPr>
            </w:pPr>
            <w:r>
              <w:rPr>
                <w:sz w:val="21"/>
              </w:rPr>
              <w:t>完善。</w:t>
            </w:r>
          </w:p>
        </w:tc>
        <w:tc>
          <w:tcPr>
            <w:tcW w:w="2969" w:type="dxa"/>
            <w:vMerge w:val="continue"/>
            <w:tcBorders>
              <w:top w:val="nil"/>
            </w:tcBorders>
            <w:vAlign w:val="top"/>
          </w:tcPr>
          <w:p>
            <w:pPr>
              <w:rPr>
                <w:sz w:val="2"/>
                <w:szCs w:val="2"/>
              </w:rPr>
            </w:pPr>
          </w:p>
        </w:tc>
        <w:tc>
          <w:tcPr>
            <w:tcW w:w="774" w:type="dxa"/>
            <w:vMerge w:val="continue"/>
            <w:tcBorders>
              <w:top w:val="nil"/>
            </w:tcBorders>
            <w:vAlign w:val="top"/>
          </w:tcPr>
          <w:p>
            <w:pPr>
              <w:rPr>
                <w:sz w:val="2"/>
                <w:szCs w:val="2"/>
              </w:rPr>
            </w:pPr>
          </w:p>
        </w:tc>
      </w:tr>
    </w:tbl>
    <w:p>
      <w:pPr>
        <w:spacing w:after="0"/>
        <w:rPr>
          <w:sz w:val="2"/>
          <w:szCs w:val="2"/>
        </w:rPr>
        <w:sectPr>
          <w:pgSz w:w="16840" w:h="11910" w:orient="landscape"/>
          <w:pgMar w:top="1100" w:right="700" w:bottom="1100" w:left="700" w:header="0" w:footer="907"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W w:w="15218"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7"/>
        <w:gridCol w:w="656"/>
        <w:gridCol w:w="711"/>
        <w:gridCol w:w="2145"/>
        <w:gridCol w:w="7306"/>
        <w:gridCol w:w="2969"/>
        <w:gridCol w:w="774"/>
      </w:tblGrid>
      <w:tr>
        <w:trPr>
          <w:trHeight w:val="523" w:hRule="atLeast"/>
        </w:trPr>
        <w:tc>
          <w:tcPr>
            <w:tcW w:w="657" w:type="dxa"/>
            <w:vAlign w:val="top"/>
          </w:tcPr>
          <w:p>
            <w:pPr>
              <w:pStyle w:val="7"/>
              <w:spacing w:before="127"/>
              <w:ind w:left="97" w:right="90"/>
              <w:jc w:val="center"/>
              <w:rPr>
                <w:rFonts w:hint="eastAsia" w:ascii="黑体" w:eastAsia="黑体"/>
                <w:sz w:val="21"/>
              </w:rPr>
            </w:pPr>
            <w:r>
              <w:rPr>
                <w:rFonts w:hint="eastAsia" w:ascii="黑体" w:eastAsia="黑体"/>
                <w:sz w:val="21"/>
              </w:rPr>
              <w:t>序号</w:t>
            </w:r>
          </w:p>
        </w:tc>
        <w:tc>
          <w:tcPr>
            <w:tcW w:w="656" w:type="dxa"/>
            <w:vAlign w:val="top"/>
          </w:tcPr>
          <w:p>
            <w:pPr>
              <w:pStyle w:val="7"/>
              <w:spacing w:before="127"/>
              <w:ind w:left="116"/>
              <w:rPr>
                <w:rFonts w:hint="eastAsia" w:ascii="黑体" w:eastAsia="黑体"/>
                <w:sz w:val="21"/>
              </w:rPr>
            </w:pPr>
            <w:r>
              <w:rPr>
                <w:rFonts w:hint="eastAsia" w:ascii="黑体" w:eastAsia="黑体"/>
                <w:sz w:val="21"/>
              </w:rPr>
              <w:t>类别</w:t>
            </w:r>
          </w:p>
        </w:tc>
        <w:tc>
          <w:tcPr>
            <w:tcW w:w="711" w:type="dxa"/>
            <w:vAlign w:val="top"/>
          </w:tcPr>
          <w:p>
            <w:pPr>
              <w:pStyle w:val="7"/>
              <w:spacing w:before="127"/>
              <w:ind w:left="144"/>
              <w:rPr>
                <w:rFonts w:hint="eastAsia" w:ascii="黑体" w:eastAsia="黑体"/>
                <w:sz w:val="21"/>
              </w:rPr>
            </w:pPr>
            <w:r>
              <w:rPr>
                <w:rFonts w:hint="eastAsia" w:ascii="黑体" w:eastAsia="黑体"/>
                <w:sz w:val="21"/>
              </w:rPr>
              <w:t>项目</w:t>
            </w:r>
          </w:p>
        </w:tc>
        <w:tc>
          <w:tcPr>
            <w:tcW w:w="2145" w:type="dxa"/>
            <w:vAlign w:val="top"/>
          </w:tcPr>
          <w:p>
            <w:pPr>
              <w:pStyle w:val="7"/>
              <w:spacing w:before="127"/>
              <w:ind w:left="650"/>
              <w:rPr>
                <w:rFonts w:hint="eastAsia" w:ascii="黑体" w:eastAsia="黑体"/>
                <w:sz w:val="21"/>
              </w:rPr>
            </w:pPr>
            <w:r>
              <w:rPr>
                <w:rFonts w:hint="eastAsia" w:ascii="黑体" w:eastAsia="黑体"/>
                <w:sz w:val="21"/>
              </w:rPr>
              <w:t>检查内容</w:t>
            </w:r>
          </w:p>
        </w:tc>
        <w:tc>
          <w:tcPr>
            <w:tcW w:w="7306" w:type="dxa"/>
            <w:vAlign w:val="top"/>
          </w:tcPr>
          <w:p>
            <w:pPr>
              <w:pStyle w:val="7"/>
              <w:spacing w:before="127"/>
              <w:ind w:left="3212" w:right="3204"/>
              <w:jc w:val="center"/>
              <w:rPr>
                <w:rFonts w:hint="eastAsia" w:ascii="黑体" w:eastAsia="黑体"/>
                <w:sz w:val="21"/>
              </w:rPr>
            </w:pPr>
            <w:r>
              <w:rPr>
                <w:rFonts w:hint="eastAsia" w:ascii="黑体" w:eastAsia="黑体"/>
                <w:sz w:val="21"/>
              </w:rPr>
              <w:t>检查依据</w:t>
            </w:r>
          </w:p>
        </w:tc>
        <w:tc>
          <w:tcPr>
            <w:tcW w:w="2969" w:type="dxa"/>
            <w:vAlign w:val="top"/>
          </w:tcPr>
          <w:p>
            <w:pPr>
              <w:pStyle w:val="7"/>
              <w:spacing w:before="127"/>
              <w:ind w:left="537"/>
              <w:rPr>
                <w:rFonts w:hint="eastAsia" w:ascii="黑体" w:eastAsia="黑体"/>
                <w:sz w:val="21"/>
              </w:rPr>
            </w:pPr>
            <w:r>
              <w:rPr>
                <w:rFonts w:hint="eastAsia" w:ascii="黑体" w:eastAsia="黑体"/>
                <w:sz w:val="21"/>
              </w:rPr>
              <w:t>处罚依据和整改建议</w:t>
            </w:r>
          </w:p>
        </w:tc>
        <w:tc>
          <w:tcPr>
            <w:tcW w:w="774" w:type="dxa"/>
            <w:vAlign w:val="top"/>
          </w:tcPr>
          <w:p>
            <w:pPr>
              <w:pStyle w:val="7"/>
              <w:spacing w:before="127"/>
              <w:ind w:left="177"/>
              <w:rPr>
                <w:rFonts w:hint="eastAsia" w:ascii="黑体" w:eastAsia="黑体"/>
                <w:sz w:val="21"/>
              </w:rPr>
            </w:pPr>
            <w:r>
              <w:rPr>
                <w:rFonts w:hint="eastAsia" w:ascii="黑体" w:eastAsia="黑体"/>
                <w:sz w:val="21"/>
              </w:rPr>
              <w:t>备注</w:t>
            </w:r>
          </w:p>
        </w:tc>
      </w:tr>
      <w:tr>
        <w:trPr>
          <w:trHeight w:val="2496" w:hRule="atLeast"/>
        </w:trPr>
        <w:tc>
          <w:tcPr>
            <w:tcW w:w="657"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8"/>
              <w:rPr>
                <w:rFonts w:ascii="Times New Roman"/>
                <w:sz w:val="16"/>
              </w:rPr>
            </w:pPr>
          </w:p>
          <w:p>
            <w:pPr>
              <w:pStyle w:val="7"/>
              <w:spacing w:before="1"/>
              <w:ind w:left="96" w:right="90"/>
              <w:jc w:val="center"/>
              <w:rPr>
                <w:sz w:val="21"/>
              </w:rPr>
            </w:pPr>
            <w:r>
              <w:rPr>
                <w:sz w:val="21"/>
              </w:rPr>
              <w:t>13</w:t>
            </w:r>
          </w:p>
        </w:tc>
        <w:tc>
          <w:tcPr>
            <w:tcW w:w="656" w:type="dxa"/>
            <w:vMerge w:val="restart"/>
            <w:textDirection w:val="tbRl"/>
            <w:vAlign w:val="top"/>
          </w:tcPr>
          <w:p>
            <w:pPr>
              <w:pStyle w:val="7"/>
              <w:spacing w:before="34"/>
              <w:ind w:left="1737" w:right="1729"/>
              <w:jc w:val="center"/>
              <w:rPr>
                <w:rFonts w:hint="eastAsia" w:ascii="微软雅黑" w:eastAsia="微软雅黑"/>
                <w:b/>
                <w:sz w:val="21"/>
              </w:rPr>
            </w:pPr>
            <w:r>
              <w:rPr>
                <w:rFonts w:hint="eastAsia" w:ascii="微软雅黑" w:eastAsia="微软雅黑"/>
                <w:b/>
                <w:sz w:val="21"/>
              </w:rPr>
              <w:t>全 面 覆 盖 的 风 险 辨 识 分 级 管 控 机 制</w:t>
            </w:r>
          </w:p>
        </w:tc>
        <w:tc>
          <w:tcPr>
            <w:tcW w:w="711" w:type="dxa"/>
            <w:vAlign w:val="top"/>
          </w:tcPr>
          <w:p>
            <w:pPr>
              <w:pStyle w:val="7"/>
              <w:rPr>
                <w:rFonts w:ascii="Times New Roman"/>
                <w:sz w:val="20"/>
              </w:rPr>
            </w:pPr>
          </w:p>
        </w:tc>
        <w:tc>
          <w:tcPr>
            <w:tcW w:w="2145" w:type="dxa"/>
            <w:vAlign w:val="top"/>
          </w:tcPr>
          <w:p>
            <w:pPr>
              <w:pStyle w:val="7"/>
              <w:spacing w:before="21" w:line="278" w:lineRule="auto"/>
              <w:ind w:left="108" w:right="97"/>
              <w:jc w:val="both"/>
              <w:rPr>
                <w:sz w:val="21"/>
              </w:rPr>
            </w:pPr>
            <w:r>
              <w:rPr>
                <w:sz w:val="21"/>
              </w:rPr>
              <w:t>针对评价出的不可接受风险，应补充制定控制措施，补充制定的措施应具体可操作并符合企业实际，应符合有关法律法规、国家标准、行业标准</w:t>
            </w:r>
          </w:p>
          <w:p>
            <w:pPr>
              <w:pStyle w:val="7"/>
              <w:spacing w:line="268" w:lineRule="exact"/>
              <w:ind w:left="108"/>
              <w:rPr>
                <w:sz w:val="21"/>
              </w:rPr>
            </w:pPr>
            <w:r>
              <w:rPr>
                <w:sz w:val="21"/>
              </w:rPr>
              <w:t>的规定。</w:t>
            </w:r>
          </w:p>
        </w:tc>
        <w:tc>
          <w:tcPr>
            <w:tcW w:w="7306" w:type="dxa"/>
            <w:vAlign w:val="top"/>
          </w:tcPr>
          <w:p>
            <w:pPr>
              <w:pStyle w:val="7"/>
              <w:rPr>
                <w:rFonts w:ascii="Times New Roman"/>
                <w:sz w:val="20"/>
              </w:rPr>
            </w:pPr>
          </w:p>
        </w:tc>
        <w:tc>
          <w:tcPr>
            <w:tcW w:w="2969" w:type="dxa"/>
            <w:vAlign w:val="top"/>
          </w:tcPr>
          <w:p>
            <w:pPr>
              <w:pStyle w:val="7"/>
              <w:rPr>
                <w:rFonts w:ascii="Times New Roman"/>
                <w:sz w:val="20"/>
              </w:rPr>
            </w:pPr>
          </w:p>
        </w:tc>
        <w:tc>
          <w:tcPr>
            <w:tcW w:w="774" w:type="dxa"/>
            <w:vAlign w:val="top"/>
          </w:tcPr>
          <w:p>
            <w:pPr>
              <w:pStyle w:val="7"/>
              <w:rPr>
                <w:rFonts w:ascii="Times New Roman"/>
                <w:sz w:val="20"/>
              </w:rPr>
            </w:pPr>
          </w:p>
        </w:tc>
      </w:tr>
      <w:tr>
        <w:trPr>
          <w:trHeight w:val="3432" w:hRule="atLeast"/>
        </w:trPr>
        <w:tc>
          <w:tcPr>
            <w:tcW w:w="657"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5"/>
              <w:rPr>
                <w:rFonts w:ascii="Times New Roman"/>
                <w:sz w:val="17"/>
              </w:rPr>
            </w:pPr>
          </w:p>
          <w:p>
            <w:pPr>
              <w:pStyle w:val="7"/>
              <w:ind w:left="96" w:right="90"/>
              <w:jc w:val="center"/>
              <w:rPr>
                <w:sz w:val="21"/>
              </w:rPr>
            </w:pPr>
            <w:r>
              <w:rPr>
                <w:sz w:val="21"/>
              </w:rPr>
              <w:t>14</w:t>
            </w:r>
          </w:p>
        </w:tc>
        <w:tc>
          <w:tcPr>
            <w:tcW w:w="656" w:type="dxa"/>
            <w:vMerge w:val="continue"/>
            <w:tcBorders>
              <w:top w:val="nil"/>
            </w:tcBorders>
            <w:textDirection w:val="tbRl"/>
            <w:vAlign w:val="top"/>
          </w:tcPr>
          <w:p>
            <w:pPr>
              <w:rPr>
                <w:sz w:val="2"/>
                <w:szCs w:val="2"/>
              </w:rPr>
            </w:pPr>
          </w:p>
        </w:tc>
        <w:tc>
          <w:tcPr>
            <w:tcW w:w="711" w:type="dxa"/>
            <w:vMerge w:val="restart"/>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9"/>
              <w:rPr>
                <w:rFonts w:ascii="Times New Roman"/>
                <w:sz w:val="19"/>
              </w:rPr>
            </w:pPr>
          </w:p>
          <w:p>
            <w:pPr>
              <w:pStyle w:val="7"/>
              <w:spacing w:line="278" w:lineRule="auto"/>
              <w:ind w:left="108" w:right="172"/>
              <w:jc w:val="both"/>
              <w:rPr>
                <w:sz w:val="21"/>
              </w:rPr>
            </w:pPr>
            <w:r>
              <w:rPr>
                <w:sz w:val="21"/>
              </w:rPr>
              <w:t>实施风险管控</w:t>
            </w:r>
          </w:p>
        </w:tc>
        <w:tc>
          <w:tcPr>
            <w:tcW w:w="2145" w:type="dxa"/>
            <w:vAlign w:val="top"/>
          </w:tcPr>
          <w:p>
            <w:pPr>
              <w:pStyle w:val="7"/>
              <w:spacing w:before="20" w:line="278" w:lineRule="auto"/>
              <w:ind w:left="108" w:right="-15" w:firstLine="208"/>
              <w:rPr>
                <w:sz w:val="21"/>
              </w:rPr>
            </w:pPr>
            <w:r>
              <w:rPr>
                <w:spacing w:val="5"/>
                <w:sz w:val="21"/>
              </w:rPr>
              <w:t>应根据风险分级管</w:t>
            </w:r>
            <w:r>
              <w:rPr>
                <w:spacing w:val="3"/>
                <w:sz w:val="21"/>
              </w:rPr>
              <w:t>控的基本原则和企业组织机构设置情况， 合理确定各级风险的管控层级，一般分为</w:t>
            </w:r>
            <w:r>
              <w:rPr>
                <w:spacing w:val="-21"/>
                <w:sz w:val="21"/>
              </w:rPr>
              <w:t>公司</w:t>
            </w:r>
            <w:r>
              <w:rPr>
                <w:sz w:val="21"/>
              </w:rPr>
              <w:t>（厂</w:t>
            </w:r>
            <w:r>
              <w:rPr>
                <w:spacing w:val="-41"/>
                <w:sz w:val="21"/>
              </w:rPr>
              <w:t>）</w:t>
            </w:r>
            <w:r>
              <w:rPr>
                <w:spacing w:val="-29"/>
                <w:sz w:val="21"/>
              </w:rPr>
              <w:t>、部室</w:t>
            </w:r>
            <w:r>
              <w:rPr>
                <w:sz w:val="21"/>
              </w:rPr>
              <w:t>（车间</w:t>
            </w:r>
            <w:r>
              <w:rPr>
                <w:spacing w:val="-32"/>
                <w:sz w:val="21"/>
              </w:rPr>
              <w:t>）</w:t>
            </w:r>
            <w:r>
              <w:rPr>
                <w:spacing w:val="-6"/>
                <w:sz w:val="21"/>
              </w:rPr>
              <w:t xml:space="preserve">、班组和岗位级， </w:t>
            </w:r>
            <w:r>
              <w:rPr>
                <w:spacing w:val="3"/>
                <w:sz w:val="21"/>
              </w:rPr>
              <w:t>也可结合本单位机构设置情况，对风险管控层级进行增加或合</w:t>
            </w:r>
          </w:p>
          <w:p>
            <w:pPr>
              <w:pStyle w:val="7"/>
              <w:spacing w:line="268" w:lineRule="exact"/>
              <w:ind w:left="108"/>
              <w:rPr>
                <w:sz w:val="21"/>
              </w:rPr>
            </w:pPr>
            <w:r>
              <w:rPr>
                <w:sz w:val="21"/>
              </w:rPr>
              <w:t>并。</w:t>
            </w:r>
          </w:p>
        </w:tc>
        <w:tc>
          <w:tcPr>
            <w:tcW w:w="7306" w:type="dxa"/>
            <w:vMerge w:val="restart"/>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9"/>
              <w:rPr>
                <w:rFonts w:ascii="Times New Roman"/>
                <w:sz w:val="24"/>
              </w:rPr>
            </w:pPr>
          </w:p>
          <w:p>
            <w:pPr>
              <w:pStyle w:val="7"/>
              <w:spacing w:line="278" w:lineRule="auto"/>
              <w:ind w:left="108" w:right="38" w:firstLine="314"/>
              <w:rPr>
                <w:sz w:val="21"/>
              </w:rPr>
            </w:pPr>
            <w:r>
              <w:rPr>
                <w:sz w:val="21"/>
              </w:rPr>
              <w:t>《条例》第 13 条 生产经营单位的主要负责人是本单位安全生产工作的第一责任人，应当履行下列职责：…</w:t>
            </w:r>
          </w:p>
          <w:p>
            <w:pPr>
              <w:pStyle w:val="7"/>
              <w:spacing w:line="278" w:lineRule="auto"/>
              <w:ind w:left="108" w:right="97"/>
              <w:rPr>
                <w:sz w:val="21"/>
              </w:rPr>
            </w:pPr>
            <w:r>
              <w:rPr>
                <w:w w:val="95"/>
                <w:sz w:val="21"/>
              </w:rPr>
              <w:t>（六</w:t>
            </w:r>
            <w:r>
              <w:rPr>
                <w:spacing w:val="-25"/>
                <w:w w:val="95"/>
                <w:sz w:val="21"/>
              </w:rPr>
              <w:t>）</w:t>
            </w:r>
            <w:r>
              <w:rPr>
                <w:spacing w:val="-2"/>
                <w:w w:val="95"/>
                <w:sz w:val="21"/>
              </w:rPr>
              <w:t xml:space="preserve">督促检查本单位安全生产工作，组织开展安全生产风险管控和事故隐患  </w:t>
            </w:r>
            <w:r>
              <w:rPr>
                <w:spacing w:val="-2"/>
                <w:sz w:val="21"/>
              </w:rPr>
              <w:t>排查治理；…</w:t>
            </w:r>
          </w:p>
          <w:p>
            <w:pPr>
              <w:pStyle w:val="7"/>
              <w:spacing w:line="278" w:lineRule="auto"/>
              <w:ind w:left="108" w:right="95" w:firstLine="420"/>
              <w:jc w:val="both"/>
              <w:rPr>
                <w:sz w:val="21"/>
              </w:rPr>
            </w:pPr>
            <w:r>
              <w:rPr>
                <w:spacing w:val="-9"/>
                <w:sz w:val="21"/>
              </w:rPr>
              <w:t xml:space="preserve">《办法》第 </w:t>
            </w:r>
            <w:r>
              <w:rPr>
                <w:sz w:val="21"/>
              </w:rPr>
              <w:t>10</w:t>
            </w:r>
            <w:r>
              <w:rPr>
                <w:spacing w:val="-5"/>
                <w:sz w:val="21"/>
              </w:rPr>
              <w:t xml:space="preserve"> 条 生产经营单位应当根据风险辨识和分级结果，编制风</w:t>
            </w:r>
            <w:r>
              <w:rPr>
                <w:spacing w:val="-9"/>
                <w:w w:val="95"/>
                <w:sz w:val="21"/>
              </w:rPr>
              <w:t xml:space="preserve">险管控清单，实施风险分级管控。风险管控清单应当包括风险点名称、风险描  </w:t>
            </w:r>
            <w:r>
              <w:rPr>
                <w:spacing w:val="-8"/>
                <w:w w:val="95"/>
                <w:sz w:val="21"/>
              </w:rPr>
              <w:t xml:space="preserve">述、可能导致后果、风险等级、风险管控措施、管控层级、排查频次、责任部  </w:t>
            </w:r>
            <w:r>
              <w:rPr>
                <w:spacing w:val="-8"/>
                <w:sz w:val="21"/>
              </w:rPr>
              <w:t>门和责任人等内容。</w:t>
            </w:r>
          </w:p>
          <w:p>
            <w:pPr>
              <w:pStyle w:val="7"/>
              <w:spacing w:line="278" w:lineRule="auto"/>
              <w:ind w:left="108" w:right="97" w:firstLine="420"/>
              <w:rPr>
                <w:sz w:val="21"/>
              </w:rPr>
            </w:pPr>
            <w:r>
              <w:rPr>
                <w:spacing w:val="-4"/>
                <w:w w:val="95"/>
                <w:sz w:val="21"/>
              </w:rPr>
              <w:t xml:space="preserve">对重大风险应当编制专项应急预案，并建立包含风险部位、责任部门、责  </w:t>
            </w:r>
            <w:r>
              <w:rPr>
                <w:spacing w:val="-4"/>
                <w:sz w:val="21"/>
              </w:rPr>
              <w:t>任人、风险评估情况的档案，档案信息发生变化的应当及时更新完善。</w:t>
            </w:r>
          </w:p>
        </w:tc>
        <w:tc>
          <w:tcPr>
            <w:tcW w:w="2969" w:type="dxa"/>
            <w:vMerge w:val="restart"/>
            <w:vAlign w:val="top"/>
          </w:tcPr>
          <w:p>
            <w:pPr>
              <w:pStyle w:val="7"/>
              <w:spacing w:before="39"/>
              <w:ind w:left="317" w:right="-15"/>
              <w:rPr>
                <w:sz w:val="21"/>
              </w:rPr>
            </w:pPr>
            <w:r>
              <w:rPr>
                <w:spacing w:val="-10"/>
                <w:sz w:val="21"/>
              </w:rPr>
              <w:t>《条例》第六十一条第三项：</w:t>
            </w:r>
          </w:p>
          <w:p>
            <w:pPr>
              <w:pStyle w:val="7"/>
              <w:spacing w:before="43" w:line="278" w:lineRule="auto"/>
              <w:ind w:left="108" w:right="95"/>
              <w:jc w:val="both"/>
              <w:rPr>
                <w:sz w:val="21"/>
              </w:rPr>
            </w:pPr>
            <w:r>
              <w:rPr>
                <w:sz w:val="21"/>
              </w:rPr>
              <w:t>（未实施安全生产风险管控制度）责令限期改正，可以处一万元以上十万元以下的罚款； 逾期未改正的，责令停产停业整顿，并处十万元以上二十万元以下的罚款，对其直接负责的主管人员和其他直接责任人员处二万元以上五万元以下的罚款；构成犯罪的，依照刑法有关规定追究刑事责任。</w:t>
            </w:r>
          </w:p>
          <w:p>
            <w:pPr>
              <w:pStyle w:val="7"/>
              <w:spacing w:line="278" w:lineRule="auto"/>
              <w:ind w:left="108" w:right="95" w:firstLine="208"/>
              <w:jc w:val="both"/>
              <w:rPr>
                <w:sz w:val="21"/>
              </w:rPr>
            </w:pPr>
            <w:r>
              <w:rPr>
                <w:spacing w:val="-17"/>
                <w:sz w:val="21"/>
              </w:rPr>
              <w:t xml:space="preserve">《办法》第 </w:t>
            </w:r>
            <w:r>
              <w:rPr>
                <w:sz w:val="21"/>
              </w:rPr>
              <w:t>29</w:t>
            </w:r>
            <w:r>
              <w:rPr>
                <w:spacing w:val="-47"/>
                <w:sz w:val="21"/>
              </w:rPr>
              <w:t xml:space="preserve"> 条</w:t>
            </w:r>
            <w:r>
              <w:rPr>
                <w:sz w:val="21"/>
              </w:rPr>
              <w:t>（</w:t>
            </w:r>
            <w:r>
              <w:rPr>
                <w:spacing w:val="-3"/>
                <w:sz w:val="21"/>
              </w:rPr>
              <w:t>未实施风</w:t>
            </w:r>
            <w:r>
              <w:rPr>
                <w:sz w:val="21"/>
              </w:rPr>
              <w:t>险管控制度的）：</w:t>
            </w:r>
            <w:r>
              <w:rPr>
                <w:spacing w:val="-2"/>
                <w:sz w:val="21"/>
              </w:rPr>
              <w:t>责令限期改</w:t>
            </w:r>
            <w:r>
              <w:rPr>
                <w:spacing w:val="-1"/>
                <w:sz w:val="21"/>
              </w:rPr>
              <w:t>正，可以处一万元以上十万元以下的罚款；逾期未改正的，</w:t>
            </w:r>
          </w:p>
          <w:p>
            <w:pPr>
              <w:pStyle w:val="7"/>
              <w:spacing w:line="269" w:lineRule="exact"/>
              <w:ind w:left="108"/>
              <w:rPr>
                <w:sz w:val="21"/>
              </w:rPr>
            </w:pPr>
            <w:r>
              <w:rPr>
                <w:sz w:val="21"/>
              </w:rPr>
              <w:t>处十万元以上二十万元以下的</w:t>
            </w:r>
          </w:p>
        </w:tc>
        <w:tc>
          <w:tcPr>
            <w:tcW w:w="774" w:type="dxa"/>
            <w:vAlign w:val="top"/>
          </w:tcPr>
          <w:p>
            <w:pPr>
              <w:pStyle w:val="7"/>
              <w:rPr>
                <w:rFonts w:ascii="Times New Roman"/>
                <w:sz w:val="20"/>
              </w:rPr>
            </w:pPr>
          </w:p>
        </w:tc>
      </w:tr>
      <w:tr>
        <w:trPr>
          <w:trHeight w:val="1585" w:hRule="atLeast"/>
        </w:trPr>
        <w:tc>
          <w:tcPr>
            <w:tcW w:w="657" w:type="dxa"/>
            <w:vAlign w:val="top"/>
          </w:tcPr>
          <w:p>
            <w:pPr>
              <w:pStyle w:val="7"/>
              <w:rPr>
                <w:rFonts w:ascii="Times New Roman"/>
                <w:sz w:val="20"/>
              </w:rPr>
            </w:pPr>
          </w:p>
          <w:p>
            <w:pPr>
              <w:pStyle w:val="7"/>
              <w:rPr>
                <w:rFonts w:ascii="Times New Roman"/>
                <w:sz w:val="20"/>
              </w:rPr>
            </w:pPr>
          </w:p>
          <w:p>
            <w:pPr>
              <w:pStyle w:val="7"/>
              <w:spacing w:before="2"/>
              <w:rPr>
                <w:rFonts w:ascii="Times New Roman"/>
                <w:sz w:val="17"/>
              </w:rPr>
            </w:pPr>
          </w:p>
          <w:p>
            <w:pPr>
              <w:pStyle w:val="7"/>
              <w:spacing w:before="1"/>
              <w:ind w:left="96" w:right="90"/>
              <w:jc w:val="center"/>
              <w:rPr>
                <w:sz w:val="21"/>
              </w:rPr>
            </w:pPr>
            <w:r>
              <w:rPr>
                <w:sz w:val="21"/>
              </w:rPr>
              <w:t>15</w:t>
            </w:r>
          </w:p>
        </w:tc>
        <w:tc>
          <w:tcPr>
            <w:tcW w:w="656" w:type="dxa"/>
            <w:vMerge w:val="continue"/>
            <w:tcBorders>
              <w:top w:val="nil"/>
            </w:tcBorders>
            <w:textDirection w:val="tbRl"/>
            <w:vAlign w:val="top"/>
          </w:tcPr>
          <w:p>
            <w:pPr>
              <w:rPr>
                <w:sz w:val="2"/>
                <w:szCs w:val="2"/>
              </w:rPr>
            </w:pPr>
          </w:p>
        </w:tc>
        <w:tc>
          <w:tcPr>
            <w:tcW w:w="711" w:type="dxa"/>
            <w:vMerge w:val="continue"/>
            <w:tcBorders>
              <w:top w:val="nil"/>
            </w:tcBorders>
            <w:vAlign w:val="top"/>
          </w:tcPr>
          <w:p>
            <w:pPr>
              <w:rPr>
                <w:sz w:val="2"/>
                <w:szCs w:val="2"/>
              </w:rPr>
            </w:pPr>
          </w:p>
        </w:tc>
        <w:tc>
          <w:tcPr>
            <w:tcW w:w="2145" w:type="dxa"/>
            <w:vAlign w:val="top"/>
          </w:tcPr>
          <w:p>
            <w:pPr>
              <w:pStyle w:val="7"/>
              <w:spacing w:before="34" w:line="278" w:lineRule="auto"/>
              <w:ind w:left="108" w:right="97" w:firstLine="314"/>
              <w:jc w:val="both"/>
              <w:rPr>
                <w:sz w:val="21"/>
              </w:rPr>
            </w:pPr>
            <w:r>
              <w:rPr>
                <w:sz w:val="21"/>
              </w:rPr>
              <w:t>根据确定的风险管控层级和企业实际，确定各风险点的管控责任部门和管控</w:t>
            </w:r>
          </w:p>
          <w:p>
            <w:pPr>
              <w:pStyle w:val="7"/>
              <w:spacing w:line="269" w:lineRule="exact"/>
              <w:ind w:left="108"/>
              <w:rPr>
                <w:sz w:val="21"/>
              </w:rPr>
            </w:pPr>
            <w:r>
              <w:rPr>
                <w:sz w:val="21"/>
              </w:rPr>
              <w:t>责任人员。</w:t>
            </w:r>
          </w:p>
        </w:tc>
        <w:tc>
          <w:tcPr>
            <w:tcW w:w="7306" w:type="dxa"/>
            <w:vMerge w:val="continue"/>
            <w:tcBorders>
              <w:top w:val="nil"/>
            </w:tcBorders>
            <w:vAlign w:val="top"/>
          </w:tcPr>
          <w:p>
            <w:pPr>
              <w:rPr>
                <w:sz w:val="2"/>
                <w:szCs w:val="2"/>
              </w:rPr>
            </w:pPr>
          </w:p>
        </w:tc>
        <w:tc>
          <w:tcPr>
            <w:tcW w:w="2969" w:type="dxa"/>
            <w:vMerge w:val="continue"/>
            <w:tcBorders>
              <w:top w:val="nil"/>
            </w:tcBorders>
            <w:vAlign w:val="top"/>
          </w:tcPr>
          <w:p>
            <w:pPr>
              <w:rPr>
                <w:sz w:val="2"/>
                <w:szCs w:val="2"/>
              </w:rPr>
            </w:pPr>
          </w:p>
        </w:tc>
        <w:tc>
          <w:tcPr>
            <w:tcW w:w="774" w:type="dxa"/>
            <w:vAlign w:val="top"/>
          </w:tcPr>
          <w:p>
            <w:pPr>
              <w:pStyle w:val="7"/>
              <w:rPr>
                <w:rFonts w:ascii="Times New Roman"/>
                <w:sz w:val="20"/>
              </w:rPr>
            </w:pPr>
          </w:p>
        </w:tc>
      </w:tr>
    </w:tbl>
    <w:p>
      <w:pPr>
        <w:spacing w:after="0"/>
        <w:rPr>
          <w:rFonts w:ascii="Times New Roman"/>
          <w:sz w:val="20"/>
        </w:rPr>
        <w:sectPr>
          <w:pgSz w:w="16840" w:h="11910" w:orient="landscape"/>
          <w:pgMar w:top="1100" w:right="700" w:bottom="1100" w:left="700" w:header="0" w:footer="907"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W w:w="15218"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7"/>
        <w:gridCol w:w="656"/>
        <w:gridCol w:w="711"/>
        <w:gridCol w:w="2145"/>
        <w:gridCol w:w="7306"/>
        <w:gridCol w:w="2969"/>
        <w:gridCol w:w="774"/>
      </w:tblGrid>
      <w:tr>
        <w:trPr>
          <w:trHeight w:val="523" w:hRule="atLeast"/>
        </w:trPr>
        <w:tc>
          <w:tcPr>
            <w:tcW w:w="657" w:type="dxa"/>
            <w:vAlign w:val="top"/>
          </w:tcPr>
          <w:p>
            <w:pPr>
              <w:pStyle w:val="7"/>
              <w:spacing w:before="127"/>
              <w:ind w:left="97" w:right="90"/>
              <w:jc w:val="center"/>
              <w:rPr>
                <w:rFonts w:hint="eastAsia" w:ascii="黑体" w:eastAsia="黑体"/>
                <w:sz w:val="21"/>
              </w:rPr>
            </w:pPr>
            <w:r>
              <w:rPr>
                <w:rFonts w:hint="eastAsia" w:ascii="黑体" w:eastAsia="黑体"/>
                <w:sz w:val="21"/>
              </w:rPr>
              <w:t>序号</w:t>
            </w:r>
          </w:p>
        </w:tc>
        <w:tc>
          <w:tcPr>
            <w:tcW w:w="656" w:type="dxa"/>
            <w:vAlign w:val="top"/>
          </w:tcPr>
          <w:p>
            <w:pPr>
              <w:pStyle w:val="7"/>
              <w:spacing w:before="127"/>
              <w:ind w:left="116"/>
              <w:rPr>
                <w:rFonts w:hint="eastAsia" w:ascii="黑体" w:eastAsia="黑体"/>
                <w:sz w:val="21"/>
              </w:rPr>
            </w:pPr>
            <w:r>
              <w:rPr>
                <w:rFonts w:hint="eastAsia" w:ascii="黑体" w:eastAsia="黑体"/>
                <w:sz w:val="21"/>
              </w:rPr>
              <w:t>类别</w:t>
            </w:r>
          </w:p>
        </w:tc>
        <w:tc>
          <w:tcPr>
            <w:tcW w:w="711" w:type="dxa"/>
            <w:vAlign w:val="top"/>
          </w:tcPr>
          <w:p>
            <w:pPr>
              <w:pStyle w:val="7"/>
              <w:spacing w:before="127"/>
              <w:ind w:left="144"/>
              <w:rPr>
                <w:rFonts w:hint="eastAsia" w:ascii="黑体" w:eastAsia="黑体"/>
                <w:sz w:val="21"/>
              </w:rPr>
            </w:pPr>
            <w:r>
              <w:rPr>
                <w:rFonts w:hint="eastAsia" w:ascii="黑体" w:eastAsia="黑体"/>
                <w:sz w:val="21"/>
              </w:rPr>
              <w:t>项目</w:t>
            </w:r>
          </w:p>
        </w:tc>
        <w:tc>
          <w:tcPr>
            <w:tcW w:w="2145" w:type="dxa"/>
            <w:vAlign w:val="top"/>
          </w:tcPr>
          <w:p>
            <w:pPr>
              <w:pStyle w:val="7"/>
              <w:spacing w:before="127"/>
              <w:ind w:left="650"/>
              <w:rPr>
                <w:rFonts w:hint="eastAsia" w:ascii="黑体" w:eastAsia="黑体"/>
                <w:sz w:val="21"/>
              </w:rPr>
            </w:pPr>
            <w:r>
              <w:rPr>
                <w:rFonts w:hint="eastAsia" w:ascii="黑体" w:eastAsia="黑体"/>
                <w:sz w:val="21"/>
              </w:rPr>
              <w:t>检查内容</w:t>
            </w:r>
          </w:p>
        </w:tc>
        <w:tc>
          <w:tcPr>
            <w:tcW w:w="7306" w:type="dxa"/>
            <w:vAlign w:val="top"/>
          </w:tcPr>
          <w:p>
            <w:pPr>
              <w:pStyle w:val="7"/>
              <w:spacing w:before="127"/>
              <w:ind w:left="3212" w:right="3204"/>
              <w:jc w:val="center"/>
              <w:rPr>
                <w:rFonts w:hint="eastAsia" w:ascii="黑体" w:eastAsia="黑体"/>
                <w:sz w:val="21"/>
              </w:rPr>
            </w:pPr>
            <w:r>
              <w:rPr>
                <w:rFonts w:hint="eastAsia" w:ascii="黑体" w:eastAsia="黑体"/>
                <w:sz w:val="21"/>
              </w:rPr>
              <w:t>检查依据</w:t>
            </w:r>
          </w:p>
        </w:tc>
        <w:tc>
          <w:tcPr>
            <w:tcW w:w="2969" w:type="dxa"/>
            <w:vAlign w:val="top"/>
          </w:tcPr>
          <w:p>
            <w:pPr>
              <w:pStyle w:val="7"/>
              <w:spacing w:before="127"/>
              <w:ind w:left="537"/>
              <w:rPr>
                <w:rFonts w:hint="eastAsia" w:ascii="黑体" w:eastAsia="黑体"/>
                <w:sz w:val="21"/>
              </w:rPr>
            </w:pPr>
            <w:r>
              <w:rPr>
                <w:rFonts w:hint="eastAsia" w:ascii="黑体" w:eastAsia="黑体"/>
                <w:sz w:val="21"/>
              </w:rPr>
              <w:t>处罚依据和整改建议</w:t>
            </w:r>
          </w:p>
        </w:tc>
        <w:tc>
          <w:tcPr>
            <w:tcW w:w="774" w:type="dxa"/>
            <w:vAlign w:val="top"/>
          </w:tcPr>
          <w:p>
            <w:pPr>
              <w:pStyle w:val="7"/>
              <w:spacing w:before="127"/>
              <w:ind w:left="177"/>
              <w:rPr>
                <w:rFonts w:hint="eastAsia" w:ascii="黑体" w:eastAsia="黑体"/>
                <w:sz w:val="21"/>
              </w:rPr>
            </w:pPr>
            <w:r>
              <w:rPr>
                <w:rFonts w:hint="eastAsia" w:ascii="黑体" w:eastAsia="黑体"/>
                <w:sz w:val="21"/>
              </w:rPr>
              <w:t>备注</w:t>
            </w:r>
          </w:p>
        </w:tc>
      </w:tr>
      <w:tr>
        <w:trPr>
          <w:trHeight w:val="2835" w:hRule="atLeast"/>
        </w:trPr>
        <w:tc>
          <w:tcPr>
            <w:tcW w:w="657"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33"/>
              <w:ind w:left="96" w:right="90"/>
              <w:jc w:val="center"/>
              <w:rPr>
                <w:sz w:val="21"/>
              </w:rPr>
            </w:pPr>
            <w:r>
              <w:rPr>
                <w:sz w:val="21"/>
              </w:rPr>
              <w:t>16</w:t>
            </w:r>
          </w:p>
        </w:tc>
        <w:tc>
          <w:tcPr>
            <w:tcW w:w="656" w:type="dxa"/>
            <w:vMerge w:val="restart"/>
            <w:textDirection w:val="tbRl"/>
            <w:vAlign w:val="top"/>
          </w:tcPr>
          <w:p>
            <w:pPr>
              <w:pStyle w:val="7"/>
              <w:spacing w:before="34"/>
              <w:ind w:left="1735" w:right="1729"/>
              <w:jc w:val="center"/>
              <w:rPr>
                <w:rFonts w:hint="eastAsia" w:ascii="微软雅黑" w:eastAsia="微软雅黑"/>
                <w:b/>
                <w:sz w:val="21"/>
              </w:rPr>
            </w:pPr>
            <w:r>
              <w:rPr>
                <w:rFonts w:hint="eastAsia" w:ascii="微软雅黑" w:eastAsia="微软雅黑"/>
                <w:b/>
                <w:sz w:val="21"/>
              </w:rPr>
              <w:t>全 面 覆 盖 的 风 险 辨 识 分 级 管 控 机 制</w:t>
            </w:r>
          </w:p>
        </w:tc>
        <w:tc>
          <w:tcPr>
            <w:tcW w:w="711" w:type="dxa"/>
            <w:vAlign w:val="top"/>
          </w:tcPr>
          <w:p>
            <w:pPr>
              <w:pStyle w:val="7"/>
              <w:rPr>
                <w:rFonts w:ascii="Times New Roman"/>
                <w:sz w:val="20"/>
              </w:rPr>
            </w:pPr>
          </w:p>
        </w:tc>
        <w:tc>
          <w:tcPr>
            <w:tcW w:w="2145" w:type="dxa"/>
            <w:vAlign w:val="top"/>
          </w:tcPr>
          <w:p>
            <w:pPr>
              <w:pStyle w:val="7"/>
              <w:rPr>
                <w:rFonts w:ascii="Times New Roman"/>
                <w:sz w:val="20"/>
              </w:rPr>
            </w:pPr>
          </w:p>
          <w:p>
            <w:pPr>
              <w:pStyle w:val="7"/>
              <w:rPr>
                <w:rFonts w:ascii="Times New Roman"/>
                <w:sz w:val="20"/>
              </w:rPr>
            </w:pPr>
          </w:p>
          <w:p>
            <w:pPr>
              <w:pStyle w:val="7"/>
              <w:spacing w:before="3"/>
              <w:rPr>
                <w:rFonts w:ascii="Times New Roman"/>
                <w:sz w:val="17"/>
              </w:rPr>
            </w:pPr>
          </w:p>
          <w:p>
            <w:pPr>
              <w:pStyle w:val="7"/>
              <w:spacing w:line="278" w:lineRule="auto"/>
              <w:ind w:left="108" w:right="135"/>
              <w:jc w:val="both"/>
              <w:rPr>
                <w:sz w:val="21"/>
              </w:rPr>
            </w:pPr>
            <w:r>
              <w:rPr>
                <w:sz w:val="21"/>
              </w:rPr>
              <w:t>各风险点管控责任人应掌握所管控风险点存在的危险有害因素及可能导致的事故类型和管控措施。</w:t>
            </w:r>
          </w:p>
        </w:tc>
        <w:tc>
          <w:tcPr>
            <w:tcW w:w="7306" w:type="dxa"/>
            <w:vAlign w:val="top"/>
          </w:tcPr>
          <w:p>
            <w:pPr>
              <w:pStyle w:val="7"/>
              <w:rPr>
                <w:rFonts w:ascii="Times New Roman"/>
                <w:sz w:val="20"/>
              </w:rPr>
            </w:pPr>
          </w:p>
        </w:tc>
        <w:tc>
          <w:tcPr>
            <w:tcW w:w="2969" w:type="dxa"/>
            <w:vAlign w:val="top"/>
          </w:tcPr>
          <w:p>
            <w:pPr>
              <w:pStyle w:val="7"/>
              <w:spacing w:before="21" w:line="278" w:lineRule="auto"/>
              <w:ind w:left="108" w:right="95"/>
              <w:jc w:val="both"/>
              <w:rPr>
                <w:sz w:val="21"/>
              </w:rPr>
            </w:pPr>
            <w:r>
              <w:rPr>
                <w:sz w:val="21"/>
              </w:rPr>
              <w:t>罚款，对其直接负责的主管人员和其他直接责任人员处二万元以上五万元以下的罚款；…</w:t>
            </w:r>
          </w:p>
        </w:tc>
        <w:tc>
          <w:tcPr>
            <w:tcW w:w="774" w:type="dxa"/>
            <w:vAlign w:val="top"/>
          </w:tcPr>
          <w:p>
            <w:pPr>
              <w:pStyle w:val="7"/>
              <w:rPr>
                <w:rFonts w:ascii="Times New Roman"/>
                <w:sz w:val="20"/>
              </w:rPr>
            </w:pPr>
          </w:p>
        </w:tc>
      </w:tr>
      <w:tr>
        <w:trPr>
          <w:trHeight w:val="4685" w:hRule="atLeast"/>
        </w:trPr>
        <w:tc>
          <w:tcPr>
            <w:tcW w:w="657"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38"/>
              <w:ind w:left="96" w:right="90"/>
              <w:jc w:val="center"/>
              <w:rPr>
                <w:sz w:val="21"/>
              </w:rPr>
            </w:pPr>
            <w:r>
              <w:rPr>
                <w:sz w:val="21"/>
              </w:rPr>
              <w:t>17</w:t>
            </w:r>
          </w:p>
        </w:tc>
        <w:tc>
          <w:tcPr>
            <w:tcW w:w="656" w:type="dxa"/>
            <w:vMerge w:val="continue"/>
            <w:tcBorders>
              <w:top w:val="nil"/>
            </w:tcBorders>
            <w:textDirection w:val="tbRl"/>
            <w:vAlign w:val="top"/>
          </w:tcPr>
          <w:p>
            <w:pPr>
              <w:rPr>
                <w:sz w:val="2"/>
                <w:szCs w:val="2"/>
              </w:rPr>
            </w:pPr>
          </w:p>
        </w:tc>
        <w:tc>
          <w:tcPr>
            <w:tcW w:w="711"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0"/>
              <w:rPr>
                <w:rFonts w:ascii="Times New Roman"/>
                <w:sz w:val="24"/>
              </w:rPr>
            </w:pPr>
          </w:p>
          <w:p>
            <w:pPr>
              <w:pStyle w:val="7"/>
              <w:spacing w:line="278" w:lineRule="auto"/>
              <w:ind w:left="108" w:right="172"/>
              <w:jc w:val="both"/>
              <w:rPr>
                <w:sz w:val="21"/>
              </w:rPr>
            </w:pPr>
            <w:r>
              <w:rPr>
                <w:sz w:val="21"/>
              </w:rPr>
              <w:t>风险管控清单</w:t>
            </w:r>
          </w:p>
        </w:tc>
        <w:tc>
          <w:tcPr>
            <w:tcW w:w="2145"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2"/>
              <w:rPr>
                <w:rFonts w:ascii="Times New Roman"/>
                <w:sz w:val="24"/>
              </w:rPr>
            </w:pPr>
          </w:p>
          <w:p>
            <w:pPr>
              <w:pStyle w:val="7"/>
              <w:spacing w:line="278" w:lineRule="auto"/>
              <w:ind w:left="108" w:right="97"/>
              <w:jc w:val="both"/>
              <w:rPr>
                <w:sz w:val="21"/>
              </w:rPr>
            </w:pPr>
            <w:r>
              <w:rPr>
                <w:sz w:val="21"/>
              </w:rPr>
              <w:t>建立风险分级管控清单，清单应由企业组织相关部门、岗位人员按程序评审，并由企业主要负责人审定发布。</w:t>
            </w:r>
          </w:p>
        </w:tc>
        <w:tc>
          <w:tcPr>
            <w:tcW w:w="7306"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2"/>
              <w:rPr>
                <w:rFonts w:ascii="Times New Roman"/>
                <w:sz w:val="24"/>
              </w:rPr>
            </w:pPr>
          </w:p>
          <w:p>
            <w:pPr>
              <w:pStyle w:val="7"/>
              <w:tabs>
                <w:tab w:val="left" w:pos="2117"/>
              </w:tabs>
              <w:spacing w:line="278" w:lineRule="auto"/>
              <w:ind w:left="108" w:right="-15" w:firstLine="208"/>
              <w:rPr>
                <w:sz w:val="21"/>
              </w:rPr>
            </w:pPr>
            <w:r>
              <w:rPr>
                <w:sz w:val="21"/>
              </w:rPr>
              <w:t>《</w:t>
            </w:r>
            <w:r>
              <w:rPr>
                <w:spacing w:val="4"/>
                <w:sz w:val="21"/>
              </w:rPr>
              <w:t>办</w:t>
            </w:r>
            <w:r>
              <w:rPr>
                <w:sz w:val="21"/>
              </w:rPr>
              <w:t>法》第</w:t>
            </w:r>
            <w:r>
              <w:rPr>
                <w:spacing w:val="-50"/>
                <w:sz w:val="21"/>
              </w:rPr>
              <w:t xml:space="preserve"> </w:t>
            </w:r>
            <w:r>
              <w:rPr>
                <w:sz w:val="21"/>
              </w:rPr>
              <w:t>10</w:t>
            </w:r>
            <w:r>
              <w:rPr>
                <w:spacing w:val="-52"/>
                <w:sz w:val="21"/>
              </w:rPr>
              <w:t xml:space="preserve"> </w:t>
            </w:r>
            <w:r>
              <w:rPr>
                <w:sz w:val="21"/>
              </w:rPr>
              <w:t>条</w:t>
            </w:r>
            <w:r>
              <w:rPr>
                <w:sz w:val="21"/>
              </w:rPr>
              <w:tab/>
            </w:r>
            <w:r>
              <w:rPr>
                <w:sz w:val="21"/>
              </w:rPr>
              <w:t>生</w:t>
            </w:r>
            <w:r>
              <w:rPr>
                <w:spacing w:val="4"/>
                <w:sz w:val="21"/>
              </w:rPr>
              <w:t>产</w:t>
            </w:r>
            <w:r>
              <w:rPr>
                <w:sz w:val="21"/>
              </w:rPr>
              <w:t>经营单</w:t>
            </w:r>
            <w:r>
              <w:rPr>
                <w:spacing w:val="4"/>
                <w:sz w:val="21"/>
              </w:rPr>
              <w:t>位</w:t>
            </w:r>
            <w:r>
              <w:rPr>
                <w:sz w:val="21"/>
              </w:rPr>
              <w:t>应当根</w:t>
            </w:r>
            <w:r>
              <w:rPr>
                <w:spacing w:val="4"/>
                <w:sz w:val="21"/>
              </w:rPr>
              <w:t>据</w:t>
            </w:r>
            <w:r>
              <w:rPr>
                <w:sz w:val="21"/>
              </w:rPr>
              <w:t>风险辨</w:t>
            </w:r>
            <w:r>
              <w:rPr>
                <w:spacing w:val="4"/>
                <w:sz w:val="21"/>
              </w:rPr>
              <w:t>识</w:t>
            </w:r>
            <w:r>
              <w:rPr>
                <w:sz w:val="21"/>
              </w:rPr>
              <w:t>和分级</w:t>
            </w:r>
            <w:r>
              <w:rPr>
                <w:spacing w:val="4"/>
                <w:sz w:val="21"/>
              </w:rPr>
              <w:t>结</w:t>
            </w:r>
            <w:r>
              <w:rPr>
                <w:sz w:val="21"/>
              </w:rPr>
              <w:t>果，编</w:t>
            </w:r>
            <w:r>
              <w:rPr>
                <w:spacing w:val="4"/>
                <w:sz w:val="21"/>
              </w:rPr>
              <w:t>制</w:t>
            </w:r>
            <w:r>
              <w:rPr>
                <w:sz w:val="21"/>
              </w:rPr>
              <w:t>风险</w:t>
            </w:r>
            <w:r>
              <w:rPr>
                <w:w w:val="95"/>
                <w:sz w:val="21"/>
              </w:rPr>
              <w:t>管控清单</w:t>
            </w:r>
            <w:r>
              <w:rPr>
                <w:spacing w:val="-53"/>
                <w:w w:val="95"/>
                <w:sz w:val="21"/>
              </w:rPr>
              <w:t>，</w:t>
            </w:r>
            <w:r>
              <w:rPr>
                <w:w w:val="95"/>
                <w:sz w:val="21"/>
              </w:rPr>
              <w:t>实施风险分级管控</w:t>
            </w:r>
            <w:r>
              <w:rPr>
                <w:spacing w:val="-49"/>
                <w:w w:val="95"/>
                <w:sz w:val="21"/>
              </w:rPr>
              <w:t>。</w:t>
            </w:r>
            <w:r>
              <w:rPr>
                <w:w w:val="95"/>
                <w:sz w:val="21"/>
              </w:rPr>
              <w:t>风险管控清单应当包括风险点名称</w:t>
            </w:r>
            <w:r>
              <w:rPr>
                <w:spacing w:val="-51"/>
                <w:w w:val="95"/>
                <w:sz w:val="21"/>
              </w:rPr>
              <w:t>、</w:t>
            </w:r>
            <w:r>
              <w:rPr>
                <w:w w:val="95"/>
                <w:sz w:val="21"/>
              </w:rPr>
              <w:t xml:space="preserve">风险描述、  </w:t>
            </w:r>
            <w:r>
              <w:rPr>
                <w:sz w:val="21"/>
              </w:rPr>
              <w:t>可能导致后果</w:t>
            </w:r>
            <w:r>
              <w:rPr>
                <w:spacing w:val="-10"/>
                <w:sz w:val="21"/>
              </w:rPr>
              <w:t>、</w:t>
            </w:r>
            <w:r>
              <w:rPr>
                <w:sz w:val="21"/>
              </w:rPr>
              <w:t>风险等级</w:t>
            </w:r>
            <w:r>
              <w:rPr>
                <w:spacing w:val="-10"/>
                <w:sz w:val="21"/>
              </w:rPr>
              <w:t>、</w:t>
            </w:r>
            <w:r>
              <w:rPr>
                <w:sz w:val="21"/>
              </w:rPr>
              <w:t>风险管控措施</w:t>
            </w:r>
            <w:r>
              <w:rPr>
                <w:spacing w:val="-8"/>
                <w:sz w:val="21"/>
              </w:rPr>
              <w:t>、</w:t>
            </w:r>
            <w:r>
              <w:rPr>
                <w:sz w:val="21"/>
              </w:rPr>
              <w:t>管控层级</w:t>
            </w:r>
            <w:r>
              <w:rPr>
                <w:spacing w:val="-10"/>
                <w:sz w:val="21"/>
              </w:rPr>
              <w:t>、</w:t>
            </w:r>
            <w:r>
              <w:rPr>
                <w:sz w:val="21"/>
              </w:rPr>
              <w:t>排查频次</w:t>
            </w:r>
            <w:r>
              <w:rPr>
                <w:spacing w:val="-10"/>
                <w:sz w:val="21"/>
              </w:rPr>
              <w:t>、</w:t>
            </w:r>
            <w:r>
              <w:rPr>
                <w:sz w:val="21"/>
              </w:rPr>
              <w:t>责任部门和责任人等内容。</w:t>
            </w:r>
          </w:p>
          <w:p>
            <w:pPr>
              <w:pStyle w:val="7"/>
              <w:spacing w:line="278" w:lineRule="auto"/>
              <w:ind w:left="108" w:right="97" w:firstLine="420"/>
              <w:rPr>
                <w:sz w:val="21"/>
              </w:rPr>
            </w:pPr>
            <w:r>
              <w:rPr>
                <w:spacing w:val="-4"/>
                <w:w w:val="95"/>
                <w:sz w:val="21"/>
              </w:rPr>
              <w:t xml:space="preserve">对重大风险应当编制专项应急预案，并建立包含风险部位、责任部门、责  </w:t>
            </w:r>
            <w:r>
              <w:rPr>
                <w:spacing w:val="-4"/>
                <w:sz w:val="21"/>
              </w:rPr>
              <w:t>任人、风险评估情况的档案，档案信息发生变化的应当及时更新完善。</w:t>
            </w:r>
          </w:p>
        </w:tc>
        <w:tc>
          <w:tcPr>
            <w:tcW w:w="2969" w:type="dxa"/>
            <w:vAlign w:val="top"/>
          </w:tcPr>
          <w:p>
            <w:pPr>
              <w:pStyle w:val="7"/>
              <w:spacing w:before="24"/>
              <w:ind w:left="317" w:right="-15"/>
              <w:rPr>
                <w:sz w:val="21"/>
              </w:rPr>
            </w:pPr>
            <w:r>
              <w:rPr>
                <w:spacing w:val="-10"/>
                <w:sz w:val="21"/>
              </w:rPr>
              <w:t>《条例》第六十一条第三项：</w:t>
            </w:r>
          </w:p>
          <w:p>
            <w:pPr>
              <w:pStyle w:val="7"/>
              <w:spacing w:before="43" w:line="278" w:lineRule="auto"/>
              <w:ind w:left="108" w:right="95"/>
              <w:rPr>
                <w:sz w:val="21"/>
              </w:rPr>
            </w:pPr>
            <w:r>
              <w:rPr>
                <w:sz w:val="21"/>
              </w:rPr>
              <w:t>（未实施安全生产风险管控制度）</w:t>
            </w:r>
          </w:p>
          <w:p>
            <w:pPr>
              <w:pStyle w:val="7"/>
              <w:spacing w:line="278" w:lineRule="auto"/>
              <w:ind w:left="108" w:right="95" w:firstLine="208"/>
              <w:jc w:val="both"/>
              <w:rPr>
                <w:sz w:val="21"/>
              </w:rPr>
            </w:pPr>
            <w:r>
              <w:rPr>
                <w:sz w:val="21"/>
              </w:rPr>
              <w:t>责令限期改正，可以处一万元以上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pStyle w:val="7"/>
              <w:spacing w:line="278" w:lineRule="auto"/>
              <w:ind w:left="108" w:right="95" w:firstLine="208"/>
              <w:jc w:val="both"/>
              <w:rPr>
                <w:sz w:val="21"/>
              </w:rPr>
            </w:pPr>
            <w:r>
              <w:rPr>
                <w:spacing w:val="-17"/>
                <w:sz w:val="21"/>
              </w:rPr>
              <w:t xml:space="preserve">《办法》第 </w:t>
            </w:r>
            <w:r>
              <w:rPr>
                <w:sz w:val="21"/>
              </w:rPr>
              <w:t>29</w:t>
            </w:r>
            <w:r>
              <w:rPr>
                <w:spacing w:val="-47"/>
                <w:sz w:val="21"/>
              </w:rPr>
              <w:t xml:space="preserve"> 条</w:t>
            </w:r>
            <w:r>
              <w:rPr>
                <w:sz w:val="21"/>
              </w:rPr>
              <w:t>（</w:t>
            </w:r>
            <w:r>
              <w:rPr>
                <w:spacing w:val="-3"/>
                <w:sz w:val="21"/>
              </w:rPr>
              <w:t>未实施风</w:t>
            </w:r>
            <w:r>
              <w:rPr>
                <w:sz w:val="21"/>
              </w:rPr>
              <w:t>险管控制度的）：</w:t>
            </w:r>
            <w:r>
              <w:rPr>
                <w:spacing w:val="-2"/>
                <w:sz w:val="21"/>
              </w:rPr>
              <w:t>责令限期改</w:t>
            </w:r>
          </w:p>
          <w:p>
            <w:pPr>
              <w:pStyle w:val="7"/>
              <w:spacing w:line="269" w:lineRule="exact"/>
              <w:ind w:left="108"/>
              <w:rPr>
                <w:sz w:val="21"/>
              </w:rPr>
            </w:pPr>
            <w:r>
              <w:rPr>
                <w:sz w:val="21"/>
              </w:rPr>
              <w:t>正，可以处一万元以上十万元</w:t>
            </w:r>
          </w:p>
        </w:tc>
        <w:tc>
          <w:tcPr>
            <w:tcW w:w="774" w:type="dxa"/>
            <w:vAlign w:val="top"/>
          </w:tcPr>
          <w:p>
            <w:pPr>
              <w:pStyle w:val="7"/>
              <w:rPr>
                <w:rFonts w:ascii="Times New Roman"/>
                <w:sz w:val="20"/>
              </w:rPr>
            </w:pPr>
          </w:p>
        </w:tc>
      </w:tr>
    </w:tbl>
    <w:p>
      <w:pPr>
        <w:spacing w:after="0"/>
        <w:rPr>
          <w:rFonts w:ascii="Times New Roman"/>
          <w:sz w:val="20"/>
        </w:rPr>
        <w:sectPr>
          <w:pgSz w:w="16840" w:h="11910" w:orient="landscape"/>
          <w:pgMar w:top="1100" w:right="700" w:bottom="1100" w:left="700" w:header="0" w:footer="907"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W w:w="15218"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7"/>
        <w:gridCol w:w="656"/>
        <w:gridCol w:w="711"/>
        <w:gridCol w:w="2145"/>
        <w:gridCol w:w="7306"/>
        <w:gridCol w:w="2969"/>
        <w:gridCol w:w="774"/>
      </w:tblGrid>
      <w:tr>
        <w:trPr>
          <w:trHeight w:val="523" w:hRule="atLeast"/>
        </w:trPr>
        <w:tc>
          <w:tcPr>
            <w:tcW w:w="657" w:type="dxa"/>
            <w:vAlign w:val="top"/>
          </w:tcPr>
          <w:p>
            <w:pPr>
              <w:pStyle w:val="7"/>
              <w:spacing w:before="127"/>
              <w:ind w:left="97" w:right="90"/>
              <w:jc w:val="center"/>
              <w:rPr>
                <w:rFonts w:hint="eastAsia" w:ascii="黑体" w:eastAsia="黑体"/>
                <w:sz w:val="21"/>
              </w:rPr>
            </w:pPr>
            <w:r>
              <w:rPr>
                <w:rFonts w:hint="eastAsia" w:ascii="黑体" w:eastAsia="黑体"/>
                <w:sz w:val="21"/>
              </w:rPr>
              <w:t>序号</w:t>
            </w:r>
          </w:p>
        </w:tc>
        <w:tc>
          <w:tcPr>
            <w:tcW w:w="656" w:type="dxa"/>
            <w:vAlign w:val="top"/>
          </w:tcPr>
          <w:p>
            <w:pPr>
              <w:pStyle w:val="7"/>
              <w:spacing w:before="127"/>
              <w:ind w:left="116"/>
              <w:rPr>
                <w:rFonts w:hint="eastAsia" w:ascii="黑体" w:eastAsia="黑体"/>
                <w:sz w:val="21"/>
              </w:rPr>
            </w:pPr>
            <w:r>
              <w:rPr>
                <w:rFonts w:hint="eastAsia" w:ascii="黑体" w:eastAsia="黑体"/>
                <w:sz w:val="21"/>
              </w:rPr>
              <w:t>类别</w:t>
            </w:r>
          </w:p>
        </w:tc>
        <w:tc>
          <w:tcPr>
            <w:tcW w:w="711" w:type="dxa"/>
            <w:vAlign w:val="top"/>
          </w:tcPr>
          <w:p>
            <w:pPr>
              <w:pStyle w:val="7"/>
              <w:spacing w:before="127"/>
              <w:ind w:left="144"/>
              <w:rPr>
                <w:rFonts w:hint="eastAsia" w:ascii="黑体" w:eastAsia="黑体"/>
                <w:sz w:val="21"/>
              </w:rPr>
            </w:pPr>
            <w:r>
              <w:rPr>
                <w:rFonts w:hint="eastAsia" w:ascii="黑体" w:eastAsia="黑体"/>
                <w:sz w:val="21"/>
              </w:rPr>
              <w:t>项目</w:t>
            </w:r>
          </w:p>
        </w:tc>
        <w:tc>
          <w:tcPr>
            <w:tcW w:w="2145" w:type="dxa"/>
            <w:vAlign w:val="top"/>
          </w:tcPr>
          <w:p>
            <w:pPr>
              <w:pStyle w:val="7"/>
              <w:spacing w:before="127"/>
              <w:ind w:left="650"/>
              <w:rPr>
                <w:rFonts w:hint="eastAsia" w:ascii="黑体" w:eastAsia="黑体"/>
                <w:sz w:val="21"/>
              </w:rPr>
            </w:pPr>
            <w:r>
              <w:rPr>
                <w:rFonts w:hint="eastAsia" w:ascii="黑体" w:eastAsia="黑体"/>
                <w:sz w:val="21"/>
              </w:rPr>
              <w:t>检查内容</w:t>
            </w:r>
          </w:p>
        </w:tc>
        <w:tc>
          <w:tcPr>
            <w:tcW w:w="7306" w:type="dxa"/>
            <w:vAlign w:val="top"/>
          </w:tcPr>
          <w:p>
            <w:pPr>
              <w:pStyle w:val="7"/>
              <w:spacing w:before="127"/>
              <w:ind w:left="3212" w:right="3204"/>
              <w:jc w:val="center"/>
              <w:rPr>
                <w:rFonts w:hint="eastAsia" w:ascii="黑体" w:eastAsia="黑体"/>
                <w:sz w:val="21"/>
              </w:rPr>
            </w:pPr>
            <w:r>
              <w:rPr>
                <w:rFonts w:hint="eastAsia" w:ascii="黑体" w:eastAsia="黑体"/>
                <w:sz w:val="21"/>
              </w:rPr>
              <w:t>检查依据</w:t>
            </w:r>
          </w:p>
        </w:tc>
        <w:tc>
          <w:tcPr>
            <w:tcW w:w="2969" w:type="dxa"/>
            <w:vAlign w:val="top"/>
          </w:tcPr>
          <w:p>
            <w:pPr>
              <w:pStyle w:val="7"/>
              <w:spacing w:before="127"/>
              <w:ind w:left="537"/>
              <w:rPr>
                <w:rFonts w:hint="eastAsia" w:ascii="黑体" w:eastAsia="黑体"/>
                <w:sz w:val="21"/>
              </w:rPr>
            </w:pPr>
            <w:r>
              <w:rPr>
                <w:rFonts w:hint="eastAsia" w:ascii="黑体" w:eastAsia="黑体"/>
                <w:sz w:val="21"/>
              </w:rPr>
              <w:t>处罚依据和整改建议</w:t>
            </w:r>
          </w:p>
        </w:tc>
        <w:tc>
          <w:tcPr>
            <w:tcW w:w="774" w:type="dxa"/>
            <w:vAlign w:val="top"/>
          </w:tcPr>
          <w:p>
            <w:pPr>
              <w:pStyle w:val="7"/>
              <w:spacing w:before="127"/>
              <w:ind w:left="177"/>
              <w:rPr>
                <w:rFonts w:hint="eastAsia" w:ascii="黑体" w:eastAsia="黑体"/>
                <w:sz w:val="21"/>
              </w:rPr>
            </w:pPr>
            <w:r>
              <w:rPr>
                <w:rFonts w:hint="eastAsia" w:ascii="黑体" w:eastAsia="黑体"/>
                <w:sz w:val="21"/>
              </w:rPr>
              <w:t>备注</w:t>
            </w:r>
          </w:p>
        </w:tc>
      </w:tr>
      <w:tr>
        <w:trPr>
          <w:trHeight w:val="2496" w:hRule="atLeast"/>
        </w:trPr>
        <w:tc>
          <w:tcPr>
            <w:tcW w:w="657"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8"/>
              <w:rPr>
                <w:rFonts w:ascii="Times New Roman"/>
                <w:sz w:val="16"/>
              </w:rPr>
            </w:pPr>
          </w:p>
          <w:p>
            <w:pPr>
              <w:pStyle w:val="7"/>
              <w:spacing w:before="1"/>
              <w:ind w:left="96" w:right="90"/>
              <w:jc w:val="center"/>
              <w:rPr>
                <w:sz w:val="21"/>
              </w:rPr>
            </w:pPr>
            <w:r>
              <w:rPr>
                <w:sz w:val="21"/>
              </w:rPr>
              <w:t>18</w:t>
            </w:r>
          </w:p>
        </w:tc>
        <w:tc>
          <w:tcPr>
            <w:tcW w:w="656" w:type="dxa"/>
            <w:vMerge w:val="restart"/>
            <w:textDirection w:val="tbRl"/>
            <w:vAlign w:val="top"/>
          </w:tcPr>
          <w:p>
            <w:pPr>
              <w:pStyle w:val="7"/>
              <w:spacing w:before="34"/>
              <w:ind w:left="936" w:right="930"/>
              <w:jc w:val="center"/>
              <w:rPr>
                <w:rFonts w:hint="eastAsia" w:ascii="微软雅黑" w:eastAsia="微软雅黑"/>
                <w:b/>
                <w:sz w:val="21"/>
              </w:rPr>
            </w:pPr>
            <w:r>
              <w:rPr>
                <w:rFonts w:hint="eastAsia" w:ascii="微软雅黑" w:eastAsia="微软雅黑"/>
                <w:b/>
                <w:sz w:val="21"/>
              </w:rPr>
              <w:t>全 面 覆 盖 的 风 险 辨 识 分 级 管 控 机 制</w:t>
            </w:r>
          </w:p>
        </w:tc>
        <w:tc>
          <w:tcPr>
            <w:tcW w:w="711" w:type="dxa"/>
            <w:vAlign w:val="top"/>
          </w:tcPr>
          <w:p>
            <w:pPr>
              <w:pStyle w:val="7"/>
              <w:rPr>
                <w:rFonts w:ascii="Times New Roman"/>
                <w:sz w:val="20"/>
              </w:rPr>
            </w:pPr>
          </w:p>
        </w:tc>
        <w:tc>
          <w:tcPr>
            <w:tcW w:w="2145" w:type="dxa"/>
            <w:vAlign w:val="top"/>
          </w:tcPr>
          <w:p>
            <w:pPr>
              <w:pStyle w:val="7"/>
              <w:spacing w:before="21" w:line="278" w:lineRule="auto"/>
              <w:ind w:left="108" w:right="-15"/>
              <w:rPr>
                <w:sz w:val="21"/>
              </w:rPr>
            </w:pPr>
            <w:r>
              <w:rPr>
                <w:spacing w:val="3"/>
                <w:sz w:val="21"/>
              </w:rPr>
              <w:t>风险分级管控清单内容应符合导则、细则的规定，涵盖确定的所有风险点、辨识出</w:t>
            </w:r>
            <w:r>
              <w:rPr>
                <w:spacing w:val="-8"/>
                <w:sz w:val="21"/>
              </w:rPr>
              <w:t>的危险源、所在位置、</w:t>
            </w:r>
            <w:r>
              <w:rPr>
                <w:spacing w:val="-13"/>
                <w:sz w:val="21"/>
              </w:rPr>
              <w:t>伴随风险大小、等级、</w:t>
            </w:r>
            <w:r>
              <w:rPr>
                <w:spacing w:val="3"/>
                <w:sz w:val="21"/>
              </w:rPr>
              <w:t>所需管控措施、责任</w:t>
            </w:r>
          </w:p>
          <w:p>
            <w:pPr>
              <w:pStyle w:val="7"/>
              <w:spacing w:line="268" w:lineRule="exact"/>
              <w:ind w:left="108" w:right="-15"/>
              <w:rPr>
                <w:sz w:val="21"/>
              </w:rPr>
            </w:pPr>
            <w:r>
              <w:rPr>
                <w:spacing w:val="-9"/>
                <w:sz w:val="21"/>
              </w:rPr>
              <w:t>单位、责任人等信息。</w:t>
            </w:r>
          </w:p>
        </w:tc>
        <w:tc>
          <w:tcPr>
            <w:tcW w:w="7306" w:type="dxa"/>
            <w:vAlign w:val="top"/>
          </w:tcPr>
          <w:p>
            <w:pPr>
              <w:pStyle w:val="7"/>
              <w:rPr>
                <w:rFonts w:ascii="Times New Roman"/>
                <w:sz w:val="20"/>
              </w:rPr>
            </w:pPr>
          </w:p>
        </w:tc>
        <w:tc>
          <w:tcPr>
            <w:tcW w:w="2969" w:type="dxa"/>
            <w:vAlign w:val="top"/>
          </w:tcPr>
          <w:p>
            <w:pPr>
              <w:pStyle w:val="7"/>
              <w:spacing w:before="21" w:line="278" w:lineRule="auto"/>
              <w:ind w:left="108" w:right="95"/>
              <w:jc w:val="both"/>
              <w:rPr>
                <w:sz w:val="21"/>
              </w:rPr>
            </w:pPr>
            <w:r>
              <w:rPr>
                <w:sz w:val="21"/>
              </w:rPr>
              <w:t>以下的罚款；逾期未改正的， 处十万元以上二十万元以下的罚款，对其直接负责的主管人员和其他直接责任人员处二万元以上五万元以下的罚款；…</w:t>
            </w:r>
          </w:p>
        </w:tc>
        <w:tc>
          <w:tcPr>
            <w:tcW w:w="774" w:type="dxa"/>
            <w:vAlign w:val="top"/>
          </w:tcPr>
          <w:p>
            <w:pPr>
              <w:pStyle w:val="7"/>
              <w:rPr>
                <w:rFonts w:ascii="Times New Roman"/>
                <w:sz w:val="20"/>
              </w:rPr>
            </w:pPr>
          </w:p>
        </w:tc>
      </w:tr>
      <w:tr>
        <w:trPr>
          <w:trHeight w:val="3426" w:hRule="atLeast"/>
        </w:trPr>
        <w:tc>
          <w:tcPr>
            <w:tcW w:w="657"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2"/>
              <w:rPr>
                <w:rFonts w:ascii="Times New Roman"/>
                <w:sz w:val="17"/>
              </w:rPr>
            </w:pPr>
          </w:p>
          <w:p>
            <w:pPr>
              <w:pStyle w:val="7"/>
              <w:ind w:left="96" w:right="90"/>
              <w:jc w:val="center"/>
              <w:rPr>
                <w:sz w:val="21"/>
              </w:rPr>
            </w:pPr>
            <w:r>
              <w:rPr>
                <w:sz w:val="21"/>
              </w:rPr>
              <w:t>19</w:t>
            </w:r>
          </w:p>
        </w:tc>
        <w:tc>
          <w:tcPr>
            <w:tcW w:w="656" w:type="dxa"/>
            <w:vMerge w:val="continue"/>
            <w:tcBorders>
              <w:top w:val="nil"/>
            </w:tcBorders>
            <w:textDirection w:val="tbRl"/>
            <w:vAlign w:val="top"/>
          </w:tcPr>
          <w:p>
            <w:pPr>
              <w:rPr>
                <w:sz w:val="2"/>
                <w:szCs w:val="2"/>
              </w:rPr>
            </w:pPr>
          </w:p>
        </w:tc>
        <w:tc>
          <w:tcPr>
            <w:tcW w:w="711"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16" w:line="278" w:lineRule="auto"/>
              <w:ind w:left="108" w:right="172"/>
              <w:jc w:val="both"/>
              <w:rPr>
                <w:sz w:val="21"/>
              </w:rPr>
            </w:pPr>
            <w:r>
              <w:rPr>
                <w:sz w:val="21"/>
              </w:rPr>
              <w:t>风险告知警示</w:t>
            </w:r>
          </w:p>
        </w:tc>
        <w:tc>
          <w:tcPr>
            <w:tcW w:w="2145" w:type="dxa"/>
            <w:vAlign w:val="top"/>
          </w:tcPr>
          <w:p>
            <w:pPr>
              <w:pStyle w:val="7"/>
              <w:spacing w:before="174" w:line="278" w:lineRule="auto"/>
              <w:ind w:left="108" w:right="-15"/>
              <w:rPr>
                <w:sz w:val="21"/>
              </w:rPr>
            </w:pPr>
            <w:r>
              <w:rPr>
                <w:spacing w:val="3"/>
                <w:sz w:val="21"/>
              </w:rPr>
              <w:t>企业应建立安全风险公告制度，在醒目位置和重点区域分别设置安全风险公告栏， 制作岗位安全风险告知卡，标明主要安全风险、可能引发事故</w:t>
            </w:r>
            <w:r>
              <w:rPr>
                <w:spacing w:val="-8"/>
                <w:sz w:val="21"/>
              </w:rPr>
              <w:t>隐患类别、事故后果、</w:t>
            </w:r>
            <w:r>
              <w:rPr>
                <w:spacing w:val="3"/>
                <w:sz w:val="21"/>
              </w:rPr>
              <w:t>管控措施、应急措施及报告方式等内容。</w:t>
            </w:r>
          </w:p>
        </w:tc>
        <w:tc>
          <w:tcPr>
            <w:tcW w:w="7306" w:type="dxa"/>
            <w:vAlign w:val="top"/>
          </w:tcPr>
          <w:p>
            <w:pPr>
              <w:pStyle w:val="7"/>
              <w:rPr>
                <w:rFonts w:ascii="Times New Roman"/>
                <w:sz w:val="20"/>
              </w:rPr>
            </w:pPr>
          </w:p>
          <w:p>
            <w:pPr>
              <w:pStyle w:val="7"/>
              <w:spacing w:before="3"/>
              <w:rPr>
                <w:rFonts w:ascii="Times New Roman"/>
                <w:sz w:val="22"/>
              </w:rPr>
            </w:pPr>
          </w:p>
          <w:p>
            <w:pPr>
              <w:pStyle w:val="7"/>
              <w:spacing w:line="278" w:lineRule="auto"/>
              <w:ind w:left="108" w:right="95" w:firstLine="314"/>
              <w:jc w:val="both"/>
              <w:rPr>
                <w:sz w:val="21"/>
              </w:rPr>
            </w:pPr>
            <w:r>
              <w:rPr>
                <w:spacing w:val="-8"/>
                <w:sz w:val="21"/>
              </w:rPr>
              <w:t xml:space="preserve">《安法》第 </w:t>
            </w:r>
            <w:r>
              <w:rPr>
                <w:sz w:val="21"/>
              </w:rPr>
              <w:t>32</w:t>
            </w:r>
            <w:r>
              <w:rPr>
                <w:spacing w:val="-5"/>
                <w:sz w:val="21"/>
              </w:rPr>
              <w:t xml:space="preserve"> 条 生产经营单位应当在有较大危险因素的生产经营场所和有关设施、设备上，设置明显的安全警示标志。</w:t>
            </w:r>
          </w:p>
          <w:p>
            <w:pPr>
              <w:pStyle w:val="7"/>
              <w:spacing w:line="278" w:lineRule="auto"/>
              <w:ind w:left="108" w:right="95"/>
              <w:jc w:val="both"/>
              <w:rPr>
                <w:sz w:val="21"/>
              </w:rPr>
            </w:pPr>
            <w:r>
              <w:rPr>
                <w:spacing w:val="-29"/>
                <w:sz w:val="21"/>
              </w:rPr>
              <w:t xml:space="preserve">第 </w:t>
            </w:r>
            <w:r>
              <w:rPr>
                <w:sz w:val="21"/>
              </w:rPr>
              <w:t>37</w:t>
            </w:r>
            <w:r>
              <w:rPr>
                <w:spacing w:val="-11"/>
                <w:sz w:val="21"/>
              </w:rPr>
              <w:t xml:space="preserve"> 条 生产经营单位对重大危险源应当登记建档，进行定期检测、评估、监</w:t>
            </w:r>
            <w:r>
              <w:rPr>
                <w:spacing w:val="-8"/>
                <w:w w:val="95"/>
                <w:sz w:val="21"/>
              </w:rPr>
              <w:t xml:space="preserve">控，并制定应急预案，告知从业人员和相关人员在紧急情况下应当采取的应急  </w:t>
            </w:r>
            <w:r>
              <w:rPr>
                <w:spacing w:val="-8"/>
                <w:sz w:val="21"/>
              </w:rPr>
              <w:t>措施。</w:t>
            </w:r>
          </w:p>
          <w:p>
            <w:pPr>
              <w:pStyle w:val="7"/>
              <w:spacing w:line="278" w:lineRule="auto"/>
              <w:ind w:left="108" w:right="95" w:firstLine="314"/>
              <w:jc w:val="both"/>
              <w:rPr>
                <w:sz w:val="21"/>
              </w:rPr>
            </w:pPr>
            <w:r>
              <w:rPr>
                <w:spacing w:val="-8"/>
                <w:sz w:val="21"/>
              </w:rPr>
              <w:t xml:space="preserve">《条例》第 </w:t>
            </w:r>
            <w:r>
              <w:rPr>
                <w:sz w:val="21"/>
              </w:rPr>
              <w:t>21</w:t>
            </w:r>
            <w:r>
              <w:rPr>
                <w:spacing w:val="-5"/>
                <w:sz w:val="21"/>
              </w:rPr>
              <w:t xml:space="preserve"> 条 生产经营单位应当在存在安全生产风险的作业场所和生</w:t>
            </w:r>
            <w:r>
              <w:rPr>
                <w:spacing w:val="-8"/>
                <w:w w:val="95"/>
                <w:sz w:val="21"/>
              </w:rPr>
              <w:t xml:space="preserve">产、储存设施处，设置明显的安全警示标志；向从业人员如实告知作业场所和  </w:t>
            </w:r>
            <w:r>
              <w:rPr>
                <w:spacing w:val="-8"/>
                <w:sz w:val="21"/>
              </w:rPr>
              <w:t>工作岗位存在的危险因素、防范措施以及事故应急措施。</w:t>
            </w:r>
          </w:p>
          <w:p>
            <w:pPr>
              <w:pStyle w:val="7"/>
              <w:spacing w:line="269" w:lineRule="exact"/>
              <w:ind w:left="528"/>
              <w:rPr>
                <w:sz w:val="21"/>
              </w:rPr>
            </w:pPr>
            <w:r>
              <w:rPr>
                <w:sz w:val="21"/>
              </w:rPr>
              <w:t>人员密集场所的经营管理单位应当采取播放安全告知、张贴安全须知或者</w:t>
            </w:r>
          </w:p>
        </w:tc>
        <w:tc>
          <w:tcPr>
            <w:tcW w:w="2969" w:type="dxa"/>
            <w:vAlign w:val="top"/>
          </w:tcPr>
          <w:p>
            <w:pPr>
              <w:pStyle w:val="7"/>
              <w:spacing w:before="174" w:line="278" w:lineRule="auto"/>
              <w:ind w:left="108" w:right="95"/>
              <w:jc w:val="both"/>
              <w:rPr>
                <w:sz w:val="21"/>
              </w:rPr>
            </w:pPr>
            <w:r>
              <w:rPr>
                <w:spacing w:val="-16"/>
                <w:sz w:val="21"/>
              </w:rPr>
              <w:t xml:space="preserve">《安法》第 </w:t>
            </w:r>
            <w:r>
              <w:rPr>
                <w:sz w:val="21"/>
              </w:rPr>
              <w:t>96</w:t>
            </w:r>
            <w:r>
              <w:rPr>
                <w:spacing w:val="-21"/>
                <w:sz w:val="21"/>
              </w:rPr>
              <w:t xml:space="preserve"> 条第一项</w:t>
            </w:r>
            <w:r>
              <w:rPr>
                <w:sz w:val="21"/>
              </w:rPr>
              <w:t>（</w:t>
            </w:r>
            <w:r>
              <w:rPr>
                <w:spacing w:val="-6"/>
                <w:sz w:val="21"/>
              </w:rPr>
              <w:t>未在</w:t>
            </w:r>
            <w:r>
              <w:rPr>
                <w:spacing w:val="-1"/>
                <w:sz w:val="21"/>
              </w:rPr>
              <w:t>有较大危险因素的生产经营场所和有关设施、设备上设置明</w:t>
            </w:r>
            <w:r>
              <w:rPr>
                <w:sz w:val="21"/>
              </w:rPr>
              <w:t>显的安全警示标志的）：</w:t>
            </w:r>
            <w:r>
              <w:rPr>
                <w:spacing w:val="-5"/>
                <w:sz w:val="21"/>
              </w:rPr>
              <w:t>责令</w:t>
            </w:r>
            <w:r>
              <w:rPr>
                <w:spacing w:val="-1"/>
                <w:sz w:val="21"/>
              </w:rPr>
              <w:t>限期改正，可以处五万元以下的罚款；逾期未改正的，处五</w:t>
            </w:r>
            <w:r>
              <w:rPr>
                <w:spacing w:val="18"/>
                <w:sz w:val="21"/>
              </w:rPr>
              <w:t>万元以上二十万元以下的罚</w:t>
            </w:r>
            <w:r>
              <w:rPr>
                <w:spacing w:val="-1"/>
                <w:sz w:val="21"/>
              </w:rPr>
              <w:t>款，对其直接负责的主管人员和其他直接责任人员处一万元以上二万元以下的罚款；情节</w:t>
            </w:r>
          </w:p>
        </w:tc>
        <w:tc>
          <w:tcPr>
            <w:tcW w:w="774" w:type="dxa"/>
            <w:vAlign w:val="top"/>
          </w:tcPr>
          <w:p>
            <w:pPr>
              <w:pStyle w:val="7"/>
              <w:rPr>
                <w:rFonts w:ascii="Times New Roman"/>
                <w:sz w:val="20"/>
              </w:rPr>
            </w:pPr>
          </w:p>
        </w:tc>
      </w:tr>
    </w:tbl>
    <w:p>
      <w:pPr>
        <w:spacing w:after="0"/>
        <w:rPr>
          <w:rFonts w:ascii="Times New Roman"/>
          <w:sz w:val="20"/>
        </w:rPr>
        <w:sectPr>
          <w:pgSz w:w="16840" w:h="11910" w:orient="landscape"/>
          <w:pgMar w:top="1100" w:right="700" w:bottom="1100" w:left="700" w:header="0" w:footer="907"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W w:w="15218"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7"/>
        <w:gridCol w:w="656"/>
        <w:gridCol w:w="711"/>
        <w:gridCol w:w="2145"/>
        <w:gridCol w:w="7306"/>
        <w:gridCol w:w="2969"/>
        <w:gridCol w:w="774"/>
      </w:tblGrid>
      <w:tr>
        <w:trPr>
          <w:trHeight w:val="523" w:hRule="atLeast"/>
        </w:trPr>
        <w:tc>
          <w:tcPr>
            <w:tcW w:w="657" w:type="dxa"/>
            <w:vAlign w:val="top"/>
          </w:tcPr>
          <w:p>
            <w:pPr>
              <w:pStyle w:val="7"/>
              <w:spacing w:before="127"/>
              <w:ind w:left="97" w:right="90"/>
              <w:jc w:val="center"/>
              <w:rPr>
                <w:rFonts w:hint="eastAsia" w:ascii="黑体" w:eastAsia="黑体"/>
                <w:sz w:val="21"/>
              </w:rPr>
            </w:pPr>
            <w:r>
              <w:rPr>
                <w:rFonts w:hint="eastAsia" w:ascii="黑体" w:eastAsia="黑体"/>
                <w:sz w:val="21"/>
              </w:rPr>
              <w:t>序号</w:t>
            </w:r>
          </w:p>
        </w:tc>
        <w:tc>
          <w:tcPr>
            <w:tcW w:w="656" w:type="dxa"/>
            <w:vAlign w:val="top"/>
          </w:tcPr>
          <w:p>
            <w:pPr>
              <w:pStyle w:val="7"/>
              <w:spacing w:before="127"/>
              <w:ind w:left="116"/>
              <w:rPr>
                <w:rFonts w:hint="eastAsia" w:ascii="黑体" w:eastAsia="黑体"/>
                <w:sz w:val="21"/>
              </w:rPr>
            </w:pPr>
            <w:r>
              <w:rPr>
                <w:rFonts w:hint="eastAsia" w:ascii="黑体" w:eastAsia="黑体"/>
                <w:sz w:val="21"/>
              </w:rPr>
              <w:t>类别</w:t>
            </w:r>
          </w:p>
        </w:tc>
        <w:tc>
          <w:tcPr>
            <w:tcW w:w="711" w:type="dxa"/>
            <w:vAlign w:val="top"/>
          </w:tcPr>
          <w:p>
            <w:pPr>
              <w:pStyle w:val="7"/>
              <w:spacing w:before="127"/>
              <w:ind w:left="144"/>
              <w:rPr>
                <w:rFonts w:hint="eastAsia" w:ascii="黑体" w:eastAsia="黑体"/>
                <w:sz w:val="21"/>
              </w:rPr>
            </w:pPr>
            <w:r>
              <w:rPr>
                <w:rFonts w:hint="eastAsia" w:ascii="黑体" w:eastAsia="黑体"/>
                <w:sz w:val="21"/>
              </w:rPr>
              <w:t>项目</w:t>
            </w:r>
          </w:p>
        </w:tc>
        <w:tc>
          <w:tcPr>
            <w:tcW w:w="2145" w:type="dxa"/>
            <w:vAlign w:val="top"/>
          </w:tcPr>
          <w:p>
            <w:pPr>
              <w:pStyle w:val="7"/>
              <w:spacing w:before="127"/>
              <w:ind w:left="650"/>
              <w:rPr>
                <w:rFonts w:hint="eastAsia" w:ascii="黑体" w:eastAsia="黑体"/>
                <w:sz w:val="21"/>
              </w:rPr>
            </w:pPr>
            <w:r>
              <w:rPr>
                <w:rFonts w:hint="eastAsia" w:ascii="黑体" w:eastAsia="黑体"/>
                <w:sz w:val="21"/>
              </w:rPr>
              <w:t>检查内容</w:t>
            </w:r>
          </w:p>
        </w:tc>
        <w:tc>
          <w:tcPr>
            <w:tcW w:w="7306" w:type="dxa"/>
            <w:vAlign w:val="top"/>
          </w:tcPr>
          <w:p>
            <w:pPr>
              <w:pStyle w:val="7"/>
              <w:spacing w:before="127"/>
              <w:ind w:left="3212" w:right="3204"/>
              <w:jc w:val="center"/>
              <w:rPr>
                <w:rFonts w:hint="eastAsia" w:ascii="黑体" w:eastAsia="黑体"/>
                <w:sz w:val="21"/>
              </w:rPr>
            </w:pPr>
            <w:r>
              <w:rPr>
                <w:rFonts w:hint="eastAsia" w:ascii="黑体" w:eastAsia="黑体"/>
                <w:sz w:val="21"/>
              </w:rPr>
              <w:t>检查依据</w:t>
            </w:r>
          </w:p>
        </w:tc>
        <w:tc>
          <w:tcPr>
            <w:tcW w:w="2969" w:type="dxa"/>
            <w:vAlign w:val="top"/>
          </w:tcPr>
          <w:p>
            <w:pPr>
              <w:pStyle w:val="7"/>
              <w:spacing w:before="127"/>
              <w:ind w:left="537"/>
              <w:rPr>
                <w:rFonts w:hint="eastAsia" w:ascii="黑体" w:eastAsia="黑体"/>
                <w:sz w:val="21"/>
              </w:rPr>
            </w:pPr>
            <w:r>
              <w:rPr>
                <w:rFonts w:hint="eastAsia" w:ascii="黑体" w:eastAsia="黑体"/>
                <w:sz w:val="21"/>
              </w:rPr>
              <w:t>处罚依据和整改建议</w:t>
            </w:r>
          </w:p>
        </w:tc>
        <w:tc>
          <w:tcPr>
            <w:tcW w:w="774" w:type="dxa"/>
            <w:vAlign w:val="top"/>
          </w:tcPr>
          <w:p>
            <w:pPr>
              <w:pStyle w:val="7"/>
              <w:spacing w:before="127"/>
              <w:ind w:left="177"/>
              <w:rPr>
                <w:rFonts w:hint="eastAsia" w:ascii="黑体" w:eastAsia="黑体"/>
                <w:sz w:val="21"/>
              </w:rPr>
            </w:pPr>
            <w:r>
              <w:rPr>
                <w:rFonts w:hint="eastAsia" w:ascii="黑体" w:eastAsia="黑体"/>
                <w:sz w:val="21"/>
              </w:rPr>
              <w:t>备注</w:t>
            </w:r>
          </w:p>
        </w:tc>
      </w:tr>
      <w:tr>
        <w:trPr>
          <w:trHeight w:val="2808" w:hRule="atLeast"/>
        </w:trPr>
        <w:tc>
          <w:tcPr>
            <w:tcW w:w="657"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19"/>
              <w:ind w:left="96" w:right="90"/>
              <w:jc w:val="center"/>
              <w:rPr>
                <w:sz w:val="21"/>
              </w:rPr>
            </w:pPr>
            <w:r>
              <w:rPr>
                <w:sz w:val="21"/>
              </w:rPr>
              <w:t>20</w:t>
            </w:r>
          </w:p>
        </w:tc>
        <w:tc>
          <w:tcPr>
            <w:tcW w:w="656" w:type="dxa"/>
            <w:vMerge w:val="restart"/>
            <w:textDirection w:val="tbRl"/>
            <w:vAlign w:val="top"/>
          </w:tcPr>
          <w:p>
            <w:pPr>
              <w:pStyle w:val="7"/>
              <w:spacing w:before="34"/>
              <w:ind w:left="1567" w:right="1559"/>
              <w:jc w:val="center"/>
              <w:rPr>
                <w:rFonts w:hint="eastAsia" w:ascii="微软雅黑" w:eastAsia="微软雅黑"/>
                <w:b/>
                <w:sz w:val="21"/>
              </w:rPr>
            </w:pPr>
            <w:r>
              <w:rPr>
                <w:rFonts w:hint="eastAsia" w:ascii="微软雅黑" w:eastAsia="微软雅黑"/>
                <w:b/>
                <w:sz w:val="21"/>
              </w:rPr>
              <w:t>全 面 覆 盖 的 风 险 辨 识 分 级 管 控 机 制</w:t>
            </w:r>
          </w:p>
        </w:tc>
        <w:tc>
          <w:tcPr>
            <w:tcW w:w="711" w:type="dxa"/>
            <w:vMerge w:val="restart"/>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60" w:line="278" w:lineRule="auto"/>
              <w:ind w:left="108" w:right="172"/>
              <w:jc w:val="both"/>
              <w:rPr>
                <w:sz w:val="21"/>
              </w:rPr>
            </w:pPr>
            <w:r>
              <w:rPr>
                <w:sz w:val="21"/>
              </w:rPr>
              <w:t>风险告知警示</w:t>
            </w:r>
          </w:p>
        </w:tc>
        <w:tc>
          <w:tcPr>
            <w:tcW w:w="2145" w:type="dxa"/>
            <w:vAlign w:val="top"/>
          </w:tcPr>
          <w:p>
            <w:pPr>
              <w:pStyle w:val="7"/>
              <w:spacing w:before="21" w:line="278" w:lineRule="auto"/>
              <w:ind w:left="108" w:right="97"/>
              <w:jc w:val="both"/>
              <w:rPr>
                <w:sz w:val="21"/>
              </w:rPr>
            </w:pPr>
            <w:r>
              <w:rPr>
                <w:sz w:val="21"/>
              </w:rPr>
              <w:t>根据风险分级管控清单将设备设施、作业活动及工艺操作过程中存在的风险及应采取的措施通过培训方式告知各岗位人员及相关方，使其掌握规避风险的措施并熟练</w:t>
            </w:r>
          </w:p>
          <w:p>
            <w:pPr>
              <w:pStyle w:val="7"/>
              <w:spacing w:line="268" w:lineRule="exact"/>
              <w:ind w:left="108"/>
              <w:rPr>
                <w:sz w:val="21"/>
              </w:rPr>
            </w:pPr>
            <w:r>
              <w:rPr>
                <w:sz w:val="21"/>
              </w:rPr>
              <w:t>使用。</w:t>
            </w:r>
          </w:p>
        </w:tc>
        <w:tc>
          <w:tcPr>
            <w:tcW w:w="7306" w:type="dxa"/>
            <w:vMerge w:val="restart"/>
            <w:vAlign w:val="top"/>
          </w:tcPr>
          <w:p>
            <w:pPr>
              <w:pStyle w:val="7"/>
              <w:spacing w:before="21"/>
              <w:ind w:left="108"/>
              <w:rPr>
                <w:sz w:val="21"/>
              </w:rPr>
            </w:pPr>
            <w:r>
              <w:rPr>
                <w:sz w:val="21"/>
              </w:rPr>
              <w:t>设置安全警示标志等方式进行安全提示。</w:t>
            </w:r>
          </w:p>
          <w:p>
            <w:pPr>
              <w:pStyle w:val="7"/>
              <w:spacing w:before="42" w:line="278" w:lineRule="auto"/>
              <w:ind w:left="108" w:right="97" w:firstLine="420"/>
              <w:jc w:val="both"/>
              <w:rPr>
                <w:sz w:val="21"/>
              </w:rPr>
            </w:pPr>
            <w:r>
              <w:rPr>
                <w:spacing w:val="26"/>
                <w:sz w:val="21"/>
              </w:rPr>
              <w:t>第</w:t>
            </w:r>
            <w:r>
              <w:rPr>
                <w:sz w:val="21"/>
              </w:rPr>
              <w:t>23</w:t>
            </w:r>
            <w:r>
              <w:rPr>
                <w:spacing w:val="-10"/>
                <w:sz w:val="21"/>
              </w:rPr>
              <w:t xml:space="preserve"> 条第二款 涉及重大危险源的生产经营单位应当将重大危险源存在的</w:t>
            </w:r>
            <w:r>
              <w:rPr>
                <w:spacing w:val="-12"/>
                <w:w w:val="95"/>
                <w:sz w:val="21"/>
              </w:rPr>
              <w:t xml:space="preserve">危险因素和应急措施及时如实告知从业人员和相关人员，在醒目位置设置警示  </w:t>
            </w:r>
            <w:r>
              <w:rPr>
                <w:spacing w:val="-9"/>
                <w:w w:val="95"/>
                <w:sz w:val="21"/>
              </w:rPr>
              <w:t xml:space="preserve">标志，并按照有关规定将重大危险源及其有关安全措施、应急预案报负有安全  </w:t>
            </w:r>
            <w:r>
              <w:rPr>
                <w:spacing w:val="-12"/>
                <w:w w:val="95"/>
                <w:sz w:val="21"/>
              </w:rPr>
              <w:t xml:space="preserve">生产监督管理职责的部门备案。生产经营单位应当每半年向负有安全生产监督  </w:t>
            </w:r>
            <w:r>
              <w:rPr>
                <w:spacing w:val="-14"/>
                <w:w w:val="95"/>
                <w:sz w:val="21"/>
              </w:rPr>
              <w:t xml:space="preserve">管理职责的部门报告一次本单位重大危险源监控及相应的安全措施、应急措施  </w:t>
            </w:r>
            <w:r>
              <w:rPr>
                <w:spacing w:val="-14"/>
                <w:sz w:val="21"/>
              </w:rPr>
              <w:t>的实施情况，在重大危险源发生变化时应当及时报告。</w:t>
            </w:r>
          </w:p>
          <w:p>
            <w:pPr>
              <w:pStyle w:val="7"/>
              <w:spacing w:line="278" w:lineRule="auto"/>
              <w:ind w:left="108" w:right="95" w:firstLine="314"/>
              <w:jc w:val="both"/>
              <w:rPr>
                <w:sz w:val="21"/>
              </w:rPr>
            </w:pPr>
            <w:r>
              <w:rPr>
                <w:spacing w:val="-19"/>
                <w:sz w:val="21"/>
              </w:rPr>
              <w:t xml:space="preserve">《办法》第 </w:t>
            </w:r>
            <w:r>
              <w:rPr>
                <w:sz w:val="21"/>
              </w:rPr>
              <w:t>12 条 生产经营单位应当在醒目位置和重点区域分别设置安全</w:t>
            </w:r>
            <w:r>
              <w:rPr>
                <w:spacing w:val="-5"/>
                <w:w w:val="95"/>
                <w:sz w:val="21"/>
              </w:rPr>
              <w:t xml:space="preserve">风险公告栏，制作岗位安全风险告知卡，标明主要安全风险、可能引发事故隐  </w:t>
            </w:r>
            <w:r>
              <w:rPr>
                <w:spacing w:val="-5"/>
                <w:sz w:val="21"/>
              </w:rPr>
              <w:t>患类别、事故后果、管控措施、应急措施及报告方式等内容。</w:t>
            </w:r>
          </w:p>
          <w:p>
            <w:pPr>
              <w:pStyle w:val="7"/>
              <w:spacing w:line="278" w:lineRule="auto"/>
              <w:ind w:left="108" w:right="97" w:firstLine="208"/>
              <w:rPr>
                <w:sz w:val="21"/>
              </w:rPr>
            </w:pPr>
            <w:r>
              <w:rPr>
                <w:spacing w:val="-4"/>
                <w:w w:val="95"/>
                <w:sz w:val="21"/>
              </w:rPr>
              <w:t xml:space="preserve">对存在风险的工作场所、岗位和有关设备设施，应当设置明显警示标志，并  </w:t>
            </w:r>
            <w:r>
              <w:rPr>
                <w:spacing w:val="-4"/>
                <w:sz w:val="21"/>
              </w:rPr>
              <w:t>强化危险源监测和预警。</w:t>
            </w:r>
          </w:p>
        </w:tc>
        <w:tc>
          <w:tcPr>
            <w:tcW w:w="2969" w:type="dxa"/>
            <w:vMerge w:val="restart"/>
            <w:vAlign w:val="top"/>
          </w:tcPr>
          <w:p>
            <w:pPr>
              <w:pStyle w:val="7"/>
              <w:spacing w:before="21" w:line="278" w:lineRule="auto"/>
              <w:ind w:left="108" w:right="95"/>
              <w:jc w:val="both"/>
              <w:rPr>
                <w:sz w:val="21"/>
              </w:rPr>
            </w:pPr>
            <w:r>
              <w:rPr>
                <w:sz w:val="21"/>
              </w:rPr>
              <w:t>严重的，责令停产停业整顿； 构成犯罪的，依照刑法有关规定追究刑事责任。</w:t>
            </w:r>
          </w:p>
          <w:p>
            <w:pPr>
              <w:pStyle w:val="7"/>
              <w:spacing w:line="278" w:lineRule="auto"/>
              <w:ind w:left="108" w:right="16"/>
              <w:rPr>
                <w:sz w:val="21"/>
              </w:rPr>
            </w:pPr>
            <w:r>
              <w:rPr>
                <w:spacing w:val="-10"/>
                <w:sz w:val="21"/>
              </w:rPr>
              <w:t xml:space="preserve">《条例》第 </w:t>
            </w:r>
            <w:r>
              <w:rPr>
                <w:sz w:val="21"/>
              </w:rPr>
              <w:t>55</w:t>
            </w:r>
            <w:r>
              <w:rPr>
                <w:spacing w:val="-10"/>
                <w:sz w:val="21"/>
              </w:rPr>
              <w:t xml:space="preserve"> 条第四项规定： </w:t>
            </w:r>
            <w:r>
              <w:rPr>
                <w:sz w:val="21"/>
              </w:rPr>
              <w:t>责令限期改正，可以处一万元</w:t>
            </w:r>
            <w:r>
              <w:rPr>
                <w:spacing w:val="9"/>
                <w:sz w:val="21"/>
              </w:rPr>
              <w:t>以上五万元以下罚款;逾期未</w:t>
            </w:r>
            <w:r>
              <w:rPr>
                <w:sz w:val="21"/>
              </w:rPr>
              <w:t>改正的，责令停产停业整顿， 并处五万元以上十万元以下罚款，对其直接负责的主管人员和其他直接责任人员处一万元以上二万元以下罚款。</w:t>
            </w:r>
          </w:p>
        </w:tc>
        <w:tc>
          <w:tcPr>
            <w:tcW w:w="774" w:type="dxa"/>
            <w:vMerge w:val="restart"/>
            <w:vAlign w:val="top"/>
          </w:tcPr>
          <w:p>
            <w:pPr>
              <w:pStyle w:val="7"/>
              <w:rPr>
                <w:rFonts w:ascii="Times New Roman"/>
                <w:sz w:val="20"/>
              </w:rPr>
            </w:pPr>
          </w:p>
        </w:tc>
      </w:tr>
      <w:tr>
        <w:trPr>
          <w:trHeight w:val="4374" w:hRule="atLeast"/>
        </w:trPr>
        <w:tc>
          <w:tcPr>
            <w:tcW w:w="657"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6"/>
              <w:rPr>
                <w:rFonts w:ascii="Times New Roman"/>
                <w:sz w:val="18"/>
              </w:rPr>
            </w:pPr>
          </w:p>
          <w:p>
            <w:pPr>
              <w:pStyle w:val="7"/>
              <w:ind w:left="96" w:right="90"/>
              <w:jc w:val="center"/>
              <w:rPr>
                <w:sz w:val="21"/>
              </w:rPr>
            </w:pPr>
            <w:r>
              <w:rPr>
                <w:sz w:val="21"/>
              </w:rPr>
              <w:t>21</w:t>
            </w:r>
          </w:p>
        </w:tc>
        <w:tc>
          <w:tcPr>
            <w:tcW w:w="656" w:type="dxa"/>
            <w:vMerge w:val="continue"/>
            <w:tcBorders>
              <w:top w:val="nil"/>
            </w:tcBorders>
            <w:textDirection w:val="tbRl"/>
            <w:vAlign w:val="top"/>
          </w:tcPr>
          <w:p>
            <w:pPr>
              <w:rPr>
                <w:sz w:val="2"/>
                <w:szCs w:val="2"/>
              </w:rPr>
            </w:pPr>
          </w:p>
        </w:tc>
        <w:tc>
          <w:tcPr>
            <w:tcW w:w="711" w:type="dxa"/>
            <w:vMerge w:val="continue"/>
            <w:tcBorders>
              <w:top w:val="nil"/>
            </w:tcBorders>
            <w:vAlign w:val="top"/>
          </w:tcPr>
          <w:p>
            <w:pPr>
              <w:rPr>
                <w:sz w:val="2"/>
                <w:szCs w:val="2"/>
              </w:rPr>
            </w:pPr>
          </w:p>
        </w:tc>
        <w:tc>
          <w:tcPr>
            <w:tcW w:w="2145"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3"/>
              <w:rPr>
                <w:rFonts w:ascii="Times New Roman"/>
                <w:sz w:val="24"/>
              </w:rPr>
            </w:pPr>
          </w:p>
          <w:p>
            <w:pPr>
              <w:pStyle w:val="7"/>
              <w:spacing w:line="278" w:lineRule="auto"/>
              <w:ind w:left="108" w:right="97"/>
              <w:jc w:val="both"/>
              <w:rPr>
                <w:sz w:val="21"/>
              </w:rPr>
            </w:pPr>
            <w:r>
              <w:rPr>
                <w:sz w:val="21"/>
              </w:rPr>
              <w:t>存在较大危险因素的生产经营场所和有关设施、设备上，应当设置明显的安全警示标志。</w:t>
            </w:r>
          </w:p>
        </w:tc>
        <w:tc>
          <w:tcPr>
            <w:tcW w:w="7306" w:type="dxa"/>
            <w:vMerge w:val="continue"/>
            <w:tcBorders>
              <w:top w:val="nil"/>
            </w:tcBorders>
            <w:vAlign w:val="top"/>
          </w:tcPr>
          <w:p>
            <w:pPr>
              <w:rPr>
                <w:sz w:val="2"/>
                <w:szCs w:val="2"/>
              </w:rPr>
            </w:pPr>
          </w:p>
        </w:tc>
        <w:tc>
          <w:tcPr>
            <w:tcW w:w="2969" w:type="dxa"/>
            <w:vMerge w:val="continue"/>
            <w:tcBorders>
              <w:top w:val="nil"/>
            </w:tcBorders>
            <w:vAlign w:val="top"/>
          </w:tcPr>
          <w:p>
            <w:pPr>
              <w:rPr>
                <w:sz w:val="2"/>
                <w:szCs w:val="2"/>
              </w:rPr>
            </w:pPr>
          </w:p>
        </w:tc>
        <w:tc>
          <w:tcPr>
            <w:tcW w:w="774" w:type="dxa"/>
            <w:vMerge w:val="continue"/>
            <w:tcBorders>
              <w:top w:val="nil"/>
            </w:tcBorders>
            <w:vAlign w:val="top"/>
          </w:tcPr>
          <w:p>
            <w:pPr>
              <w:rPr>
                <w:sz w:val="2"/>
                <w:szCs w:val="2"/>
              </w:rPr>
            </w:pPr>
          </w:p>
        </w:tc>
      </w:tr>
    </w:tbl>
    <w:p>
      <w:pPr>
        <w:spacing w:after="0"/>
        <w:rPr>
          <w:sz w:val="2"/>
          <w:szCs w:val="2"/>
        </w:rPr>
        <w:sectPr>
          <w:pgSz w:w="16840" w:h="11910" w:orient="landscape"/>
          <w:pgMar w:top="1100" w:right="700" w:bottom="1100" w:left="700" w:header="0" w:footer="907"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W w:w="15218"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7"/>
        <w:gridCol w:w="656"/>
        <w:gridCol w:w="711"/>
        <w:gridCol w:w="2145"/>
        <w:gridCol w:w="7306"/>
        <w:gridCol w:w="2969"/>
        <w:gridCol w:w="774"/>
      </w:tblGrid>
      <w:tr>
        <w:trPr>
          <w:trHeight w:val="523" w:hRule="atLeast"/>
        </w:trPr>
        <w:tc>
          <w:tcPr>
            <w:tcW w:w="657" w:type="dxa"/>
            <w:vAlign w:val="top"/>
          </w:tcPr>
          <w:p>
            <w:pPr>
              <w:pStyle w:val="7"/>
              <w:spacing w:before="127"/>
              <w:ind w:left="97" w:right="90"/>
              <w:jc w:val="center"/>
              <w:rPr>
                <w:rFonts w:hint="eastAsia" w:ascii="黑体" w:eastAsia="黑体"/>
                <w:sz w:val="21"/>
              </w:rPr>
            </w:pPr>
            <w:r>
              <w:rPr>
                <w:rFonts w:hint="eastAsia" w:ascii="黑体" w:eastAsia="黑体"/>
                <w:sz w:val="21"/>
              </w:rPr>
              <w:t>序号</w:t>
            </w:r>
          </w:p>
        </w:tc>
        <w:tc>
          <w:tcPr>
            <w:tcW w:w="656" w:type="dxa"/>
            <w:vAlign w:val="top"/>
          </w:tcPr>
          <w:p>
            <w:pPr>
              <w:pStyle w:val="7"/>
              <w:spacing w:before="127"/>
              <w:ind w:left="116"/>
              <w:rPr>
                <w:rFonts w:hint="eastAsia" w:ascii="黑体" w:eastAsia="黑体"/>
                <w:sz w:val="21"/>
              </w:rPr>
            </w:pPr>
            <w:r>
              <w:rPr>
                <w:rFonts w:hint="eastAsia" w:ascii="黑体" w:eastAsia="黑体"/>
                <w:sz w:val="21"/>
              </w:rPr>
              <w:t>类别</w:t>
            </w:r>
          </w:p>
        </w:tc>
        <w:tc>
          <w:tcPr>
            <w:tcW w:w="711" w:type="dxa"/>
            <w:vAlign w:val="top"/>
          </w:tcPr>
          <w:p>
            <w:pPr>
              <w:pStyle w:val="7"/>
              <w:spacing w:before="127"/>
              <w:ind w:left="144"/>
              <w:rPr>
                <w:rFonts w:hint="eastAsia" w:ascii="黑体" w:eastAsia="黑体"/>
                <w:sz w:val="21"/>
              </w:rPr>
            </w:pPr>
            <w:r>
              <w:rPr>
                <w:rFonts w:hint="eastAsia" w:ascii="黑体" w:eastAsia="黑体"/>
                <w:sz w:val="21"/>
              </w:rPr>
              <w:t>项目</w:t>
            </w:r>
          </w:p>
        </w:tc>
        <w:tc>
          <w:tcPr>
            <w:tcW w:w="2145" w:type="dxa"/>
            <w:vAlign w:val="top"/>
          </w:tcPr>
          <w:p>
            <w:pPr>
              <w:pStyle w:val="7"/>
              <w:spacing w:before="127"/>
              <w:ind w:left="650"/>
              <w:rPr>
                <w:rFonts w:hint="eastAsia" w:ascii="黑体" w:eastAsia="黑体"/>
                <w:sz w:val="21"/>
              </w:rPr>
            </w:pPr>
            <w:r>
              <w:rPr>
                <w:rFonts w:hint="eastAsia" w:ascii="黑体" w:eastAsia="黑体"/>
                <w:sz w:val="21"/>
              </w:rPr>
              <w:t>检查内容</w:t>
            </w:r>
          </w:p>
        </w:tc>
        <w:tc>
          <w:tcPr>
            <w:tcW w:w="7306" w:type="dxa"/>
            <w:vAlign w:val="top"/>
          </w:tcPr>
          <w:p>
            <w:pPr>
              <w:pStyle w:val="7"/>
              <w:spacing w:before="127"/>
              <w:ind w:left="3212" w:right="3204"/>
              <w:jc w:val="center"/>
              <w:rPr>
                <w:rFonts w:hint="eastAsia" w:ascii="黑体" w:eastAsia="黑体"/>
                <w:sz w:val="21"/>
              </w:rPr>
            </w:pPr>
            <w:r>
              <w:rPr>
                <w:rFonts w:hint="eastAsia" w:ascii="黑体" w:eastAsia="黑体"/>
                <w:sz w:val="21"/>
              </w:rPr>
              <w:t>检查依据</w:t>
            </w:r>
          </w:p>
        </w:tc>
        <w:tc>
          <w:tcPr>
            <w:tcW w:w="2969" w:type="dxa"/>
            <w:vAlign w:val="top"/>
          </w:tcPr>
          <w:p>
            <w:pPr>
              <w:pStyle w:val="7"/>
              <w:spacing w:before="127"/>
              <w:ind w:left="537"/>
              <w:rPr>
                <w:rFonts w:hint="eastAsia" w:ascii="黑体" w:eastAsia="黑体"/>
                <w:sz w:val="21"/>
              </w:rPr>
            </w:pPr>
            <w:r>
              <w:rPr>
                <w:rFonts w:hint="eastAsia" w:ascii="黑体" w:eastAsia="黑体"/>
                <w:sz w:val="21"/>
              </w:rPr>
              <w:t>处罚依据和整改建议</w:t>
            </w:r>
          </w:p>
        </w:tc>
        <w:tc>
          <w:tcPr>
            <w:tcW w:w="774" w:type="dxa"/>
            <w:vAlign w:val="top"/>
          </w:tcPr>
          <w:p>
            <w:pPr>
              <w:pStyle w:val="7"/>
              <w:spacing w:before="127"/>
              <w:ind w:left="177"/>
              <w:rPr>
                <w:rFonts w:hint="eastAsia" w:ascii="黑体" w:eastAsia="黑体"/>
                <w:sz w:val="21"/>
              </w:rPr>
            </w:pPr>
            <w:r>
              <w:rPr>
                <w:rFonts w:hint="eastAsia" w:ascii="黑体" w:eastAsia="黑体"/>
                <w:sz w:val="21"/>
              </w:rPr>
              <w:t>备注</w:t>
            </w:r>
          </w:p>
        </w:tc>
      </w:tr>
      <w:tr>
        <w:trPr>
          <w:trHeight w:val="4465" w:hRule="atLeast"/>
        </w:trPr>
        <w:tc>
          <w:tcPr>
            <w:tcW w:w="657"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3"/>
              <w:rPr>
                <w:rFonts w:ascii="Times New Roman"/>
                <w:sz w:val="22"/>
              </w:rPr>
            </w:pPr>
          </w:p>
          <w:p>
            <w:pPr>
              <w:pStyle w:val="7"/>
              <w:spacing w:before="1"/>
              <w:ind w:left="96" w:right="90"/>
              <w:jc w:val="center"/>
              <w:rPr>
                <w:sz w:val="21"/>
              </w:rPr>
            </w:pPr>
            <w:r>
              <w:rPr>
                <w:sz w:val="21"/>
              </w:rPr>
              <w:t>22</w:t>
            </w:r>
          </w:p>
        </w:tc>
        <w:tc>
          <w:tcPr>
            <w:tcW w:w="656" w:type="dxa"/>
            <w:textDirection w:val="tbRl"/>
            <w:vAlign w:val="top"/>
          </w:tcPr>
          <w:p>
            <w:pPr>
              <w:pStyle w:val="7"/>
              <w:spacing w:before="34"/>
              <w:ind w:left="122"/>
              <w:rPr>
                <w:rFonts w:hint="eastAsia" w:ascii="微软雅黑" w:eastAsia="微软雅黑"/>
                <w:b/>
                <w:sz w:val="21"/>
              </w:rPr>
            </w:pPr>
            <w:r>
              <w:rPr>
                <w:rFonts w:hint="eastAsia" w:ascii="微软雅黑" w:eastAsia="微软雅黑"/>
                <w:b/>
                <w:sz w:val="21"/>
              </w:rPr>
              <w:t>全 面 覆 盖 的 风 险 辨 识 分 级 管 控 机 制</w:t>
            </w:r>
          </w:p>
        </w:tc>
        <w:tc>
          <w:tcPr>
            <w:tcW w:w="711"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75" w:line="278" w:lineRule="auto"/>
              <w:ind w:left="108" w:right="95"/>
              <w:jc w:val="both"/>
              <w:rPr>
                <w:sz w:val="21"/>
              </w:rPr>
            </w:pPr>
            <w:r>
              <w:rPr>
                <w:spacing w:val="-16"/>
                <w:sz w:val="21"/>
              </w:rPr>
              <w:t>风 险信 息</w:t>
            </w:r>
            <w:r>
              <w:rPr>
                <w:sz w:val="21"/>
              </w:rPr>
              <w:t>报送</w:t>
            </w:r>
          </w:p>
        </w:tc>
        <w:tc>
          <w:tcPr>
            <w:tcW w:w="2145"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8"/>
              </w:rPr>
            </w:pPr>
          </w:p>
          <w:p>
            <w:pPr>
              <w:pStyle w:val="7"/>
              <w:spacing w:before="1" w:line="278" w:lineRule="auto"/>
              <w:ind w:left="108" w:right="97"/>
              <w:jc w:val="both"/>
              <w:rPr>
                <w:sz w:val="21"/>
              </w:rPr>
            </w:pPr>
            <w:r>
              <w:rPr>
                <w:sz w:val="21"/>
              </w:rPr>
              <w:t>及时向负有安全生产监督管理职责的部门报送重大风险辨识、评估、管控等基本信息。</w:t>
            </w:r>
          </w:p>
        </w:tc>
        <w:tc>
          <w:tcPr>
            <w:tcW w:w="7306"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75" w:line="278" w:lineRule="auto"/>
              <w:ind w:left="108" w:right="97"/>
              <w:jc w:val="both"/>
              <w:rPr>
                <w:sz w:val="21"/>
              </w:rPr>
            </w:pPr>
            <w:r>
              <w:rPr>
                <w:spacing w:val="-15"/>
                <w:sz w:val="21"/>
              </w:rPr>
              <w:t xml:space="preserve">《办法》第 </w:t>
            </w:r>
            <w:r>
              <w:rPr>
                <w:sz w:val="21"/>
              </w:rPr>
              <w:t>7</w:t>
            </w:r>
            <w:r>
              <w:rPr>
                <w:spacing w:val="-1"/>
                <w:sz w:val="21"/>
              </w:rPr>
              <w:t xml:space="preserve"> 条 生产经营单位应当将风险管控纳入安全生产责任制，具体履</w:t>
            </w:r>
            <w:r>
              <w:rPr>
                <w:spacing w:val="-3"/>
                <w:w w:val="95"/>
                <w:sz w:val="21"/>
              </w:rPr>
              <w:t>行下列风险管控责任：</w:t>
            </w:r>
            <w:r>
              <w:rPr>
                <w:spacing w:val="-17"/>
                <w:w w:val="95"/>
                <w:sz w:val="21"/>
              </w:rPr>
              <w:t>（</w:t>
            </w:r>
            <w:r>
              <w:rPr>
                <w:w w:val="95"/>
                <w:sz w:val="21"/>
              </w:rPr>
              <w:t>五</w:t>
            </w:r>
            <w:r>
              <w:rPr>
                <w:spacing w:val="-17"/>
                <w:w w:val="95"/>
                <w:sz w:val="21"/>
              </w:rPr>
              <w:t>）</w:t>
            </w:r>
            <w:r>
              <w:rPr>
                <w:w w:val="95"/>
                <w:sz w:val="21"/>
              </w:rPr>
              <w:t xml:space="preserve">及时向负有安全生产监督管理职责部门报送重大  </w:t>
            </w:r>
            <w:r>
              <w:rPr>
                <w:sz w:val="21"/>
              </w:rPr>
              <w:t>风险辨识、评估、管控等基本信息。</w:t>
            </w:r>
          </w:p>
        </w:tc>
        <w:tc>
          <w:tcPr>
            <w:tcW w:w="2969" w:type="dxa"/>
            <w:vAlign w:val="top"/>
          </w:tcPr>
          <w:p>
            <w:pPr>
              <w:pStyle w:val="7"/>
              <w:rPr>
                <w:rFonts w:ascii="Times New Roman"/>
                <w:sz w:val="20"/>
              </w:rPr>
            </w:pPr>
          </w:p>
          <w:p>
            <w:pPr>
              <w:pStyle w:val="7"/>
              <w:spacing w:before="7"/>
              <w:rPr>
                <w:rFonts w:ascii="Times New Roman"/>
                <w:sz w:val="26"/>
              </w:rPr>
            </w:pPr>
          </w:p>
          <w:p>
            <w:pPr>
              <w:pStyle w:val="7"/>
              <w:spacing w:before="1" w:line="278" w:lineRule="auto"/>
              <w:ind w:left="108" w:right="95" w:firstLine="208"/>
              <w:rPr>
                <w:sz w:val="21"/>
              </w:rPr>
            </w:pPr>
            <w:r>
              <w:rPr>
                <w:spacing w:val="-17"/>
                <w:sz w:val="21"/>
              </w:rPr>
              <w:t xml:space="preserve">《办法》第 </w:t>
            </w:r>
            <w:r>
              <w:rPr>
                <w:sz w:val="21"/>
              </w:rPr>
              <w:t>28</w:t>
            </w:r>
            <w:r>
              <w:rPr>
                <w:spacing w:val="-21"/>
                <w:sz w:val="21"/>
              </w:rPr>
              <w:t xml:space="preserve"> 条第一项</w:t>
            </w:r>
            <w:r>
              <w:rPr>
                <w:sz w:val="21"/>
              </w:rPr>
              <w:t>（未</w:t>
            </w:r>
            <w:r>
              <w:rPr>
                <w:spacing w:val="-1"/>
                <w:sz w:val="21"/>
              </w:rPr>
              <w:t>按照本办法第七条规定向负有安全生产监督管理职责部门报</w:t>
            </w:r>
            <w:r>
              <w:rPr>
                <w:sz w:val="21"/>
              </w:rPr>
              <w:t xml:space="preserve">送重大风险基本信息的）： </w:t>
            </w:r>
            <w:r>
              <w:rPr>
                <w:spacing w:val="-1"/>
                <w:sz w:val="21"/>
              </w:rPr>
              <w:t>责令限期改正，可以处一万元以上五万元以下的罚款；逾期未改正的，处五万元以上十万元以下的罚款，对其直接负责的主管人员和其他直接责任人员处一万元以上二万元以下的</w:t>
            </w:r>
            <w:r>
              <w:rPr>
                <w:sz w:val="21"/>
              </w:rPr>
              <w:t>罚款。</w:t>
            </w:r>
          </w:p>
        </w:tc>
        <w:tc>
          <w:tcPr>
            <w:tcW w:w="774" w:type="dxa"/>
            <w:vAlign w:val="top"/>
          </w:tcPr>
          <w:p>
            <w:pPr>
              <w:pStyle w:val="7"/>
              <w:rPr>
                <w:rFonts w:ascii="Times New Roman"/>
                <w:sz w:val="20"/>
              </w:rPr>
            </w:pPr>
          </w:p>
        </w:tc>
      </w:tr>
      <w:tr>
        <w:trPr>
          <w:trHeight w:val="2952" w:hRule="atLeast"/>
        </w:trPr>
        <w:tc>
          <w:tcPr>
            <w:tcW w:w="657" w:type="dxa"/>
            <w:vAlign w:val="top"/>
          </w:tcPr>
          <w:p>
            <w:pPr>
              <w:pStyle w:val="7"/>
              <w:rPr>
                <w:rFonts w:ascii="Times New Roman"/>
                <w:sz w:val="20"/>
              </w:rPr>
            </w:pPr>
          </w:p>
        </w:tc>
        <w:tc>
          <w:tcPr>
            <w:tcW w:w="14561" w:type="dxa"/>
            <w:gridSpan w:val="6"/>
            <w:vAlign w:val="top"/>
          </w:tcPr>
          <w:p>
            <w:pPr>
              <w:pStyle w:val="7"/>
              <w:rPr>
                <w:rFonts w:ascii="Times New Roman"/>
                <w:sz w:val="20"/>
              </w:rPr>
            </w:pPr>
          </w:p>
          <w:p>
            <w:pPr>
              <w:pStyle w:val="7"/>
              <w:spacing w:before="176"/>
              <w:ind w:left="107"/>
              <w:rPr>
                <w:sz w:val="21"/>
              </w:rPr>
            </w:pPr>
            <w:r>
              <w:rPr>
                <w:sz w:val="21"/>
              </w:rPr>
              <w:t>说明：</w:t>
            </w:r>
          </w:p>
          <w:p>
            <w:pPr>
              <w:pStyle w:val="7"/>
              <w:numPr>
                <w:ilvl w:val="0"/>
                <w:numId w:val="11"/>
              </w:numPr>
              <w:tabs>
                <w:tab w:val="left" w:pos="739"/>
              </w:tabs>
              <w:spacing w:before="42" w:after="0" w:line="278" w:lineRule="auto"/>
              <w:ind w:left="107" w:right="97" w:firstLine="420"/>
              <w:jc w:val="left"/>
              <w:rPr>
                <w:sz w:val="21"/>
              </w:rPr>
            </w:pPr>
            <w:r>
              <w:rPr>
                <w:sz w:val="21"/>
              </w:rPr>
              <w:t>上述认定为未落实安全生产风险分级管控制度的表现，主要依据《河南省安全生产条例》第十二条的规定，从企业应进行生产安全风险排查、对排查出的风险点按照危险性确定风险等级、对较大以上风险点进行公告警示、采取相应的风险管控措施、实现风险的动态管理等方面予以细化。</w:t>
            </w:r>
          </w:p>
          <w:p>
            <w:pPr>
              <w:pStyle w:val="7"/>
              <w:numPr>
                <w:ilvl w:val="0"/>
                <w:numId w:val="11"/>
              </w:numPr>
              <w:tabs>
                <w:tab w:val="left" w:pos="739"/>
              </w:tabs>
              <w:spacing w:before="0" w:after="0" w:line="278" w:lineRule="auto"/>
              <w:ind w:left="107" w:right="97" w:firstLine="420"/>
              <w:jc w:val="left"/>
              <w:rPr>
                <w:sz w:val="21"/>
              </w:rPr>
            </w:pPr>
            <w:r>
              <w:rPr>
                <w:sz w:val="21"/>
              </w:rPr>
              <w:t>上述认定为未落实安全生产风险分级管控制度的表现，均依据《河南省安全生产条例》第六十一条第三项的规定实施处罚。对当事人违反同一项的多个违法情形实施罚款时，不得重复计算罚款额，其罚款额不得高于该项规定数额的上限，也不得低于其规定数额的下限。</w:t>
            </w:r>
          </w:p>
          <w:p>
            <w:pPr>
              <w:pStyle w:val="7"/>
              <w:numPr>
                <w:ilvl w:val="0"/>
                <w:numId w:val="11"/>
              </w:numPr>
              <w:tabs>
                <w:tab w:val="left" w:pos="739"/>
              </w:tabs>
              <w:spacing w:before="0" w:after="0" w:line="278" w:lineRule="auto"/>
              <w:ind w:left="107" w:right="97" w:firstLine="420"/>
              <w:jc w:val="left"/>
              <w:rPr>
                <w:sz w:val="21"/>
              </w:rPr>
            </w:pPr>
            <w:r>
              <w:rPr>
                <w:spacing w:val="-2"/>
                <w:sz w:val="21"/>
              </w:rPr>
              <w:t xml:space="preserve">上述认定为未落实安全生产风险分级管控制度的表现，当事人存在 </w:t>
            </w:r>
            <w:r>
              <w:rPr>
                <w:sz w:val="21"/>
              </w:rPr>
              <w:t>4</w:t>
            </w:r>
            <w:r>
              <w:rPr>
                <w:spacing w:val="-6"/>
                <w:sz w:val="21"/>
              </w:rPr>
              <w:t xml:space="preserve"> 种以上情形或者有从重处罚情节的，执法人员应当在自由裁量幅度内选择较高或者最高幅度确定处罚标准，但不得高于自由裁量幅度上限。</w:t>
            </w:r>
          </w:p>
        </w:tc>
      </w:tr>
    </w:tbl>
    <w:p>
      <w:pPr>
        <w:spacing w:after="0" w:line="278" w:lineRule="auto"/>
        <w:jc w:val="left"/>
        <w:rPr>
          <w:sz w:val="21"/>
        </w:rPr>
        <w:sectPr>
          <w:pgSz w:w="16840" w:h="11910" w:orient="landscape"/>
          <w:pgMar w:top="1100" w:right="700" w:bottom="1100" w:left="700" w:header="0" w:footer="907"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W w:w="15218"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7"/>
        <w:gridCol w:w="656"/>
        <w:gridCol w:w="711"/>
        <w:gridCol w:w="2145"/>
        <w:gridCol w:w="7306"/>
        <w:gridCol w:w="2969"/>
        <w:gridCol w:w="774"/>
      </w:tblGrid>
      <w:tr>
        <w:trPr>
          <w:trHeight w:val="523" w:hRule="atLeast"/>
        </w:trPr>
        <w:tc>
          <w:tcPr>
            <w:tcW w:w="657" w:type="dxa"/>
            <w:vAlign w:val="top"/>
          </w:tcPr>
          <w:p>
            <w:pPr>
              <w:pStyle w:val="7"/>
              <w:spacing w:before="127"/>
              <w:ind w:left="97" w:right="90"/>
              <w:jc w:val="center"/>
              <w:rPr>
                <w:rFonts w:hint="eastAsia" w:ascii="黑体" w:eastAsia="黑体"/>
                <w:sz w:val="21"/>
              </w:rPr>
            </w:pPr>
            <w:r>
              <w:rPr>
                <w:rFonts w:hint="eastAsia" w:ascii="黑体" w:eastAsia="黑体"/>
                <w:sz w:val="21"/>
              </w:rPr>
              <w:t>序号</w:t>
            </w:r>
          </w:p>
        </w:tc>
        <w:tc>
          <w:tcPr>
            <w:tcW w:w="656" w:type="dxa"/>
            <w:vAlign w:val="top"/>
          </w:tcPr>
          <w:p>
            <w:pPr>
              <w:pStyle w:val="7"/>
              <w:spacing w:before="127"/>
              <w:ind w:left="116"/>
              <w:rPr>
                <w:rFonts w:hint="eastAsia" w:ascii="黑体" w:eastAsia="黑体"/>
                <w:sz w:val="21"/>
              </w:rPr>
            </w:pPr>
            <w:r>
              <w:rPr>
                <w:rFonts w:hint="eastAsia" w:ascii="黑体" w:eastAsia="黑体"/>
                <w:sz w:val="21"/>
              </w:rPr>
              <w:t>类别</w:t>
            </w:r>
          </w:p>
        </w:tc>
        <w:tc>
          <w:tcPr>
            <w:tcW w:w="711" w:type="dxa"/>
            <w:vAlign w:val="top"/>
          </w:tcPr>
          <w:p>
            <w:pPr>
              <w:pStyle w:val="7"/>
              <w:spacing w:before="127"/>
              <w:ind w:left="144"/>
              <w:rPr>
                <w:rFonts w:hint="eastAsia" w:ascii="黑体" w:eastAsia="黑体"/>
                <w:sz w:val="21"/>
              </w:rPr>
            </w:pPr>
            <w:r>
              <w:rPr>
                <w:rFonts w:hint="eastAsia" w:ascii="黑体" w:eastAsia="黑体"/>
                <w:sz w:val="21"/>
              </w:rPr>
              <w:t>项目</w:t>
            </w:r>
          </w:p>
        </w:tc>
        <w:tc>
          <w:tcPr>
            <w:tcW w:w="2145" w:type="dxa"/>
            <w:vAlign w:val="top"/>
          </w:tcPr>
          <w:p>
            <w:pPr>
              <w:pStyle w:val="7"/>
              <w:spacing w:before="127"/>
              <w:ind w:left="650"/>
              <w:rPr>
                <w:rFonts w:hint="eastAsia" w:ascii="黑体" w:eastAsia="黑体"/>
                <w:sz w:val="21"/>
              </w:rPr>
            </w:pPr>
            <w:r>
              <w:rPr>
                <w:rFonts w:hint="eastAsia" w:ascii="黑体" w:eastAsia="黑体"/>
                <w:sz w:val="21"/>
              </w:rPr>
              <w:t>检查内容</w:t>
            </w:r>
          </w:p>
        </w:tc>
        <w:tc>
          <w:tcPr>
            <w:tcW w:w="7306" w:type="dxa"/>
            <w:vAlign w:val="top"/>
          </w:tcPr>
          <w:p>
            <w:pPr>
              <w:pStyle w:val="7"/>
              <w:spacing w:before="127"/>
              <w:ind w:left="3212" w:right="3204"/>
              <w:jc w:val="center"/>
              <w:rPr>
                <w:rFonts w:hint="eastAsia" w:ascii="黑体" w:eastAsia="黑体"/>
                <w:sz w:val="21"/>
              </w:rPr>
            </w:pPr>
            <w:r>
              <w:rPr>
                <w:rFonts w:hint="eastAsia" w:ascii="黑体" w:eastAsia="黑体"/>
                <w:sz w:val="21"/>
              </w:rPr>
              <w:t>检查依据</w:t>
            </w:r>
          </w:p>
        </w:tc>
        <w:tc>
          <w:tcPr>
            <w:tcW w:w="2969" w:type="dxa"/>
            <w:vAlign w:val="top"/>
          </w:tcPr>
          <w:p>
            <w:pPr>
              <w:pStyle w:val="7"/>
              <w:spacing w:before="127"/>
              <w:ind w:left="537"/>
              <w:rPr>
                <w:rFonts w:hint="eastAsia" w:ascii="黑体" w:eastAsia="黑体"/>
                <w:sz w:val="21"/>
              </w:rPr>
            </w:pPr>
            <w:r>
              <w:rPr>
                <w:rFonts w:hint="eastAsia" w:ascii="黑体" w:eastAsia="黑体"/>
                <w:sz w:val="21"/>
              </w:rPr>
              <w:t>处罚依据和整改建议</w:t>
            </w:r>
          </w:p>
        </w:tc>
        <w:tc>
          <w:tcPr>
            <w:tcW w:w="774" w:type="dxa"/>
            <w:vAlign w:val="top"/>
          </w:tcPr>
          <w:p>
            <w:pPr>
              <w:pStyle w:val="7"/>
              <w:spacing w:before="127"/>
              <w:ind w:left="177"/>
              <w:rPr>
                <w:rFonts w:hint="eastAsia" w:ascii="黑体" w:eastAsia="黑体"/>
                <w:sz w:val="21"/>
              </w:rPr>
            </w:pPr>
            <w:r>
              <w:rPr>
                <w:rFonts w:hint="eastAsia" w:ascii="黑体" w:eastAsia="黑体"/>
                <w:sz w:val="21"/>
              </w:rPr>
              <w:t>备注</w:t>
            </w:r>
          </w:p>
        </w:tc>
      </w:tr>
      <w:tr>
        <w:trPr>
          <w:trHeight w:val="7439" w:hRule="atLeast"/>
        </w:trPr>
        <w:tc>
          <w:tcPr>
            <w:tcW w:w="657"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35"/>
              <w:ind w:left="96" w:right="90"/>
              <w:jc w:val="center"/>
              <w:rPr>
                <w:sz w:val="21"/>
              </w:rPr>
            </w:pPr>
            <w:r>
              <w:rPr>
                <w:sz w:val="21"/>
              </w:rPr>
              <w:t>23</w:t>
            </w:r>
          </w:p>
        </w:tc>
        <w:tc>
          <w:tcPr>
            <w:tcW w:w="656" w:type="dxa"/>
            <w:textDirection w:val="tbRl"/>
            <w:vAlign w:val="top"/>
          </w:tcPr>
          <w:p>
            <w:pPr>
              <w:pStyle w:val="7"/>
              <w:spacing w:before="34"/>
              <w:ind w:left="1963" w:right="1954"/>
              <w:jc w:val="center"/>
              <w:rPr>
                <w:rFonts w:hint="eastAsia" w:ascii="微软雅黑" w:eastAsia="微软雅黑"/>
                <w:b/>
                <w:sz w:val="21"/>
              </w:rPr>
            </w:pPr>
            <w:r>
              <w:rPr>
                <w:rFonts w:hint="eastAsia" w:ascii="微软雅黑" w:eastAsia="微软雅黑"/>
                <w:b/>
                <w:sz w:val="21"/>
              </w:rPr>
              <w:t>责 任 明 确 的 隐 患 排 查 治 理 机 制</w:t>
            </w:r>
          </w:p>
        </w:tc>
        <w:tc>
          <w:tcPr>
            <w:tcW w:w="711"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9"/>
              <w:rPr>
                <w:rFonts w:ascii="Times New Roman"/>
                <w:sz w:val="16"/>
              </w:rPr>
            </w:pPr>
          </w:p>
          <w:p>
            <w:pPr>
              <w:pStyle w:val="7"/>
              <w:spacing w:line="278" w:lineRule="auto"/>
              <w:ind w:left="108" w:right="172"/>
              <w:jc w:val="both"/>
              <w:rPr>
                <w:sz w:val="21"/>
              </w:rPr>
            </w:pPr>
            <w:r>
              <w:rPr>
                <w:sz w:val="21"/>
              </w:rPr>
              <w:t>建立健全并实施隐患排查治理制度</w:t>
            </w:r>
          </w:p>
        </w:tc>
        <w:tc>
          <w:tcPr>
            <w:tcW w:w="2145" w:type="dxa"/>
            <w:vAlign w:val="top"/>
          </w:tcPr>
          <w:p>
            <w:pPr>
              <w:pStyle w:val="7"/>
              <w:rPr>
                <w:rFonts w:ascii="Times New Roman"/>
                <w:sz w:val="20"/>
              </w:rPr>
            </w:pPr>
          </w:p>
          <w:p>
            <w:pPr>
              <w:pStyle w:val="7"/>
              <w:rPr>
                <w:rFonts w:ascii="Times New Roman"/>
                <w:sz w:val="20"/>
              </w:rPr>
            </w:pPr>
          </w:p>
          <w:p>
            <w:pPr>
              <w:pStyle w:val="7"/>
              <w:spacing w:before="161" w:line="278" w:lineRule="auto"/>
              <w:ind w:left="108" w:right="-15"/>
              <w:rPr>
                <w:sz w:val="21"/>
              </w:rPr>
            </w:pPr>
            <w:r>
              <w:rPr>
                <w:spacing w:val="3"/>
                <w:sz w:val="21"/>
              </w:rPr>
              <w:t>按照《安法》《河南省安全生产条例》等有关规定建立健全隐患排查治理制度。实施从主要负责人到全体从业人员的事故隐患排查责任制。制度内容应包括隐患分级与分类、编制隐患排查清单、制定排查计划、实施隐患排查与治理、制定并落实重大隐患治理方案、验</w:t>
            </w:r>
            <w:r>
              <w:rPr>
                <w:spacing w:val="-8"/>
                <w:sz w:val="21"/>
              </w:rPr>
              <w:t xml:space="preserve">收、销号等信息台账， </w:t>
            </w:r>
            <w:r>
              <w:rPr>
                <w:spacing w:val="3"/>
                <w:sz w:val="21"/>
              </w:rPr>
              <w:t>全面记录隐患排查治理信息，实现闭合管理、资金专项使用、</w:t>
            </w:r>
            <w:r>
              <w:rPr>
                <w:spacing w:val="30"/>
                <w:sz w:val="21"/>
              </w:rPr>
              <w:t>隐患报告和举报奖</w:t>
            </w:r>
            <w:r>
              <w:rPr>
                <w:spacing w:val="-6"/>
                <w:sz w:val="21"/>
              </w:rPr>
              <w:t>励、持续改进等内容， 并符合企业实际。</w:t>
            </w:r>
          </w:p>
        </w:tc>
        <w:tc>
          <w:tcPr>
            <w:tcW w:w="7306" w:type="dxa"/>
            <w:vAlign w:val="top"/>
          </w:tcPr>
          <w:p>
            <w:pPr>
              <w:pStyle w:val="7"/>
              <w:rPr>
                <w:rFonts w:ascii="Times New Roman"/>
                <w:sz w:val="20"/>
              </w:rPr>
            </w:pPr>
          </w:p>
          <w:p>
            <w:pPr>
              <w:pStyle w:val="7"/>
              <w:rPr>
                <w:rFonts w:ascii="Times New Roman"/>
                <w:sz w:val="20"/>
              </w:rPr>
            </w:pPr>
          </w:p>
          <w:p>
            <w:pPr>
              <w:pStyle w:val="7"/>
              <w:spacing w:before="6"/>
              <w:rPr>
                <w:rFonts w:ascii="Times New Roman"/>
                <w:sz w:val="27"/>
              </w:rPr>
            </w:pPr>
          </w:p>
          <w:p>
            <w:pPr>
              <w:pStyle w:val="7"/>
              <w:spacing w:line="278" w:lineRule="auto"/>
              <w:ind w:left="108" w:right="95" w:firstLine="420"/>
              <w:jc w:val="both"/>
              <w:rPr>
                <w:sz w:val="21"/>
              </w:rPr>
            </w:pPr>
            <w:r>
              <w:rPr>
                <w:spacing w:val="-15"/>
                <w:sz w:val="21"/>
              </w:rPr>
              <w:t xml:space="preserve">《安法》第 </w:t>
            </w:r>
            <w:r>
              <w:rPr>
                <w:sz w:val="21"/>
              </w:rPr>
              <w:t>38</w:t>
            </w:r>
            <w:r>
              <w:rPr>
                <w:spacing w:val="-10"/>
                <w:sz w:val="21"/>
              </w:rPr>
              <w:t xml:space="preserve"> 条第一款： 生产经营单位应当建立健全生产安全事故隐患</w:t>
            </w:r>
            <w:r>
              <w:rPr>
                <w:spacing w:val="-11"/>
                <w:w w:val="95"/>
                <w:sz w:val="21"/>
              </w:rPr>
              <w:t xml:space="preserve">排查治理制度，采取技术、管理措施，及时发现并消除事故隐患。事故隐患排  </w:t>
            </w:r>
            <w:r>
              <w:rPr>
                <w:spacing w:val="-11"/>
                <w:sz w:val="21"/>
              </w:rPr>
              <w:t>查治理情况应当如实记录，并向从业人员通报。</w:t>
            </w:r>
          </w:p>
          <w:p>
            <w:pPr>
              <w:pStyle w:val="7"/>
              <w:spacing w:line="278" w:lineRule="auto"/>
              <w:ind w:left="108" w:right="95" w:firstLine="314"/>
              <w:jc w:val="both"/>
              <w:rPr>
                <w:sz w:val="21"/>
              </w:rPr>
            </w:pPr>
            <w:r>
              <w:rPr>
                <w:spacing w:val="-8"/>
                <w:sz w:val="21"/>
              </w:rPr>
              <w:t xml:space="preserve">《条例》第 </w:t>
            </w:r>
            <w:r>
              <w:rPr>
                <w:sz w:val="21"/>
              </w:rPr>
              <w:t>12</w:t>
            </w:r>
            <w:r>
              <w:rPr>
                <w:spacing w:val="-5"/>
                <w:sz w:val="21"/>
              </w:rPr>
              <w:t xml:space="preserve"> 条 生产经营单位应当根据本单位实际和国家有关规定，制</w:t>
            </w:r>
            <w:r>
              <w:rPr>
                <w:spacing w:val="-9"/>
                <w:w w:val="95"/>
                <w:sz w:val="21"/>
              </w:rPr>
              <w:t xml:space="preserve">定安全生产规章制度和操作规程。矿山、金属冶炼、建筑施工、道路运输单位  </w:t>
            </w:r>
            <w:r>
              <w:rPr>
                <w:spacing w:val="-11"/>
                <w:w w:val="95"/>
                <w:sz w:val="21"/>
              </w:rPr>
              <w:t>和危险物品的生产、经营、储存、废弃处置以及使用危险物品的数量构成重大  危险源的单位应当建立健全和实施以下安全生产规章制度：…（</w:t>
            </w:r>
            <w:r>
              <w:rPr>
                <w:w w:val="95"/>
                <w:sz w:val="21"/>
              </w:rPr>
              <w:t>七</w:t>
            </w:r>
            <w:r>
              <w:rPr>
                <w:spacing w:val="-15"/>
                <w:w w:val="95"/>
                <w:sz w:val="21"/>
              </w:rPr>
              <w:t>）</w:t>
            </w:r>
            <w:r>
              <w:rPr>
                <w:w w:val="95"/>
                <w:sz w:val="21"/>
              </w:rPr>
              <w:t xml:space="preserve">安全生产  </w:t>
            </w:r>
            <w:r>
              <w:rPr>
                <w:sz w:val="21"/>
              </w:rPr>
              <w:t>风险管控和事故隐患排查治理制度;…</w:t>
            </w:r>
          </w:p>
          <w:p>
            <w:pPr>
              <w:pStyle w:val="7"/>
              <w:spacing w:line="278" w:lineRule="auto"/>
              <w:ind w:left="108" w:right="95" w:firstLine="420"/>
              <w:jc w:val="both"/>
              <w:rPr>
                <w:sz w:val="21"/>
              </w:rPr>
            </w:pPr>
            <w:r>
              <w:rPr>
                <w:spacing w:val="26"/>
                <w:sz w:val="21"/>
              </w:rPr>
              <w:t>第</w:t>
            </w:r>
            <w:r>
              <w:rPr>
                <w:sz w:val="21"/>
              </w:rPr>
              <w:t>13</w:t>
            </w:r>
            <w:r>
              <w:rPr>
                <w:spacing w:val="-11"/>
                <w:sz w:val="21"/>
              </w:rPr>
              <w:t xml:space="preserve"> 条第十三条 生产经营单位的主要负责人是本单位安全生产工作的第</w:t>
            </w:r>
            <w:r>
              <w:rPr>
                <w:spacing w:val="-8"/>
                <w:w w:val="95"/>
                <w:sz w:val="21"/>
              </w:rPr>
              <w:t>一责任人，应当履行下列职责：…</w:t>
            </w:r>
            <w:r>
              <w:rPr>
                <w:spacing w:val="-7"/>
                <w:w w:val="95"/>
                <w:sz w:val="21"/>
              </w:rPr>
              <w:t>（</w:t>
            </w:r>
            <w:r>
              <w:rPr>
                <w:w w:val="95"/>
                <w:sz w:val="21"/>
              </w:rPr>
              <w:t>六</w:t>
            </w:r>
            <w:r>
              <w:rPr>
                <w:spacing w:val="-10"/>
                <w:w w:val="95"/>
                <w:sz w:val="21"/>
              </w:rPr>
              <w:t>）</w:t>
            </w:r>
            <w:r>
              <w:rPr>
                <w:spacing w:val="-1"/>
                <w:w w:val="95"/>
                <w:sz w:val="21"/>
              </w:rPr>
              <w:t xml:space="preserve">督促检查本单位安全生产工作，组织  </w:t>
            </w:r>
            <w:r>
              <w:rPr>
                <w:spacing w:val="-1"/>
                <w:sz w:val="21"/>
              </w:rPr>
              <w:t>开展安全生产风险管控和事故隐患排查治理；…</w:t>
            </w:r>
          </w:p>
          <w:p>
            <w:pPr>
              <w:pStyle w:val="7"/>
              <w:spacing w:line="278" w:lineRule="auto"/>
              <w:ind w:left="108" w:right="95" w:firstLine="420"/>
              <w:jc w:val="both"/>
              <w:rPr>
                <w:sz w:val="21"/>
              </w:rPr>
            </w:pPr>
            <w:r>
              <w:rPr>
                <w:spacing w:val="26"/>
                <w:sz w:val="21"/>
              </w:rPr>
              <w:t>第</w:t>
            </w:r>
            <w:r>
              <w:rPr>
                <w:sz w:val="21"/>
              </w:rPr>
              <w:t>15</w:t>
            </w:r>
            <w:r>
              <w:rPr>
                <w:spacing w:val="-11"/>
                <w:sz w:val="21"/>
              </w:rPr>
              <w:t xml:space="preserve"> 条 生产经营单位的安全生产管理机构及其安全生产管理人员应当履</w:t>
            </w:r>
            <w:r>
              <w:rPr>
                <w:spacing w:val="-11"/>
                <w:w w:val="95"/>
                <w:sz w:val="21"/>
              </w:rPr>
              <w:t>行下列职责：</w:t>
            </w:r>
            <w:r>
              <w:rPr>
                <w:spacing w:val="-9"/>
                <w:w w:val="95"/>
                <w:sz w:val="21"/>
              </w:rPr>
              <w:t>（</w:t>
            </w:r>
            <w:r>
              <w:rPr>
                <w:w w:val="95"/>
                <w:sz w:val="21"/>
              </w:rPr>
              <w:t>四</w:t>
            </w:r>
            <w:r>
              <w:rPr>
                <w:spacing w:val="-8"/>
                <w:w w:val="95"/>
                <w:sz w:val="21"/>
              </w:rPr>
              <w:t>）</w:t>
            </w:r>
            <w:r>
              <w:rPr>
                <w:spacing w:val="-2"/>
                <w:w w:val="95"/>
                <w:sz w:val="21"/>
              </w:rPr>
              <w:t xml:space="preserve">检查本单位安全生产状况，开展安全生产风险管控，及时  </w:t>
            </w:r>
            <w:r>
              <w:rPr>
                <w:spacing w:val="-6"/>
                <w:w w:val="95"/>
                <w:sz w:val="21"/>
              </w:rPr>
              <w:t xml:space="preserve">排查生产安全事故隐患，提出改进安全生产管理的建议，督促落实本单位安全  </w:t>
            </w:r>
            <w:r>
              <w:rPr>
                <w:spacing w:val="-6"/>
                <w:sz w:val="21"/>
              </w:rPr>
              <w:t>生产整改措施和重大危险源的安全管理措施；…</w:t>
            </w:r>
          </w:p>
          <w:p>
            <w:pPr>
              <w:pStyle w:val="7"/>
              <w:spacing w:line="278" w:lineRule="auto"/>
              <w:ind w:left="108" w:right="97" w:firstLine="420"/>
              <w:jc w:val="both"/>
              <w:rPr>
                <w:sz w:val="21"/>
              </w:rPr>
            </w:pPr>
            <w:r>
              <w:rPr>
                <w:spacing w:val="26"/>
                <w:sz w:val="21"/>
              </w:rPr>
              <w:t>第</w:t>
            </w:r>
            <w:r>
              <w:rPr>
                <w:sz w:val="21"/>
              </w:rPr>
              <w:t>24</w:t>
            </w:r>
            <w:r>
              <w:rPr>
                <w:spacing w:val="-10"/>
                <w:sz w:val="21"/>
              </w:rPr>
              <w:t xml:space="preserve"> 条第一款 生产经营单位应当建立健全安全生产事故隐患排查治理制</w:t>
            </w:r>
            <w:r>
              <w:rPr>
                <w:spacing w:val="-7"/>
                <w:w w:val="95"/>
                <w:sz w:val="21"/>
              </w:rPr>
              <w:t xml:space="preserve">度，明确本单位负责人和各岗位从业人员的排查治理责任，编制本单位事故隐  </w:t>
            </w:r>
            <w:r>
              <w:rPr>
                <w:spacing w:val="-7"/>
                <w:sz w:val="21"/>
              </w:rPr>
              <w:t>患排查治理标准清单，及时发现并消除事故隐患。</w:t>
            </w:r>
          </w:p>
          <w:p>
            <w:pPr>
              <w:pStyle w:val="7"/>
              <w:spacing w:line="269" w:lineRule="exact"/>
              <w:ind w:left="528"/>
              <w:jc w:val="both"/>
              <w:rPr>
                <w:sz w:val="21"/>
              </w:rPr>
            </w:pPr>
            <w:r>
              <w:rPr>
                <w:sz w:val="21"/>
              </w:rPr>
              <w:t>第 25 条。《办法》第 13 条。</w:t>
            </w:r>
          </w:p>
        </w:tc>
        <w:tc>
          <w:tcPr>
            <w:tcW w:w="2969"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16"/>
              </w:rPr>
            </w:pPr>
          </w:p>
          <w:p>
            <w:pPr>
              <w:pStyle w:val="7"/>
              <w:spacing w:before="1"/>
              <w:ind w:left="317"/>
              <w:rPr>
                <w:sz w:val="21"/>
              </w:rPr>
            </w:pPr>
            <w:r>
              <w:rPr>
                <w:sz w:val="21"/>
              </w:rPr>
              <w:t>《安法》第九十八条第四项</w:t>
            </w:r>
          </w:p>
          <w:p>
            <w:pPr>
              <w:pStyle w:val="7"/>
              <w:spacing w:before="43" w:line="278" w:lineRule="auto"/>
              <w:ind w:left="108" w:right="95"/>
              <w:jc w:val="both"/>
              <w:rPr>
                <w:sz w:val="21"/>
              </w:rPr>
            </w:pPr>
            <w:r>
              <w:rPr>
                <w:sz w:val="21"/>
              </w:rPr>
              <w:t>（未建立事故隐患排查治理制度的）：责令限期改正，可以处十万元以下的罚款；逾期未改正的，责令停产停业整顿， 并处十万元以上二十万元以下的罚款，对其直接负责的主管人员和其他直接责任人员处二万元以上五万元以下的罚款； 构成犯罪的，依照刑法有关规定追究刑事责任。</w:t>
            </w:r>
          </w:p>
        </w:tc>
        <w:tc>
          <w:tcPr>
            <w:tcW w:w="774" w:type="dxa"/>
            <w:vAlign w:val="top"/>
          </w:tcPr>
          <w:p>
            <w:pPr>
              <w:pStyle w:val="7"/>
              <w:rPr>
                <w:rFonts w:ascii="Times New Roman"/>
                <w:sz w:val="20"/>
              </w:rPr>
            </w:pPr>
          </w:p>
        </w:tc>
      </w:tr>
    </w:tbl>
    <w:p>
      <w:pPr>
        <w:spacing w:after="0"/>
        <w:rPr>
          <w:rFonts w:ascii="Times New Roman"/>
          <w:sz w:val="20"/>
        </w:rPr>
        <w:sectPr>
          <w:pgSz w:w="16840" w:h="11910" w:orient="landscape"/>
          <w:pgMar w:top="1100" w:right="700" w:bottom="1100" w:left="700" w:header="0" w:footer="907"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W w:w="15218"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7"/>
        <w:gridCol w:w="656"/>
        <w:gridCol w:w="711"/>
        <w:gridCol w:w="2145"/>
        <w:gridCol w:w="7306"/>
        <w:gridCol w:w="2969"/>
        <w:gridCol w:w="774"/>
      </w:tblGrid>
      <w:tr>
        <w:trPr>
          <w:trHeight w:val="523" w:hRule="atLeast"/>
        </w:trPr>
        <w:tc>
          <w:tcPr>
            <w:tcW w:w="657" w:type="dxa"/>
            <w:vAlign w:val="top"/>
          </w:tcPr>
          <w:p>
            <w:pPr>
              <w:pStyle w:val="7"/>
              <w:spacing w:before="127"/>
              <w:ind w:left="97" w:right="90"/>
              <w:jc w:val="center"/>
              <w:rPr>
                <w:rFonts w:hint="eastAsia" w:ascii="黑体" w:eastAsia="黑体"/>
                <w:sz w:val="21"/>
              </w:rPr>
            </w:pPr>
            <w:r>
              <w:rPr>
                <w:rFonts w:hint="eastAsia" w:ascii="黑体" w:eastAsia="黑体"/>
                <w:sz w:val="21"/>
              </w:rPr>
              <w:t>序号</w:t>
            </w:r>
          </w:p>
        </w:tc>
        <w:tc>
          <w:tcPr>
            <w:tcW w:w="656" w:type="dxa"/>
            <w:vAlign w:val="top"/>
          </w:tcPr>
          <w:p>
            <w:pPr>
              <w:pStyle w:val="7"/>
              <w:spacing w:before="127"/>
              <w:ind w:left="116"/>
              <w:rPr>
                <w:rFonts w:hint="eastAsia" w:ascii="黑体" w:eastAsia="黑体"/>
                <w:sz w:val="21"/>
              </w:rPr>
            </w:pPr>
            <w:r>
              <w:rPr>
                <w:rFonts w:hint="eastAsia" w:ascii="黑体" w:eastAsia="黑体"/>
                <w:sz w:val="21"/>
              </w:rPr>
              <w:t>类别</w:t>
            </w:r>
          </w:p>
        </w:tc>
        <w:tc>
          <w:tcPr>
            <w:tcW w:w="711" w:type="dxa"/>
            <w:vAlign w:val="top"/>
          </w:tcPr>
          <w:p>
            <w:pPr>
              <w:pStyle w:val="7"/>
              <w:spacing w:before="127"/>
              <w:ind w:left="144"/>
              <w:rPr>
                <w:rFonts w:hint="eastAsia" w:ascii="黑体" w:eastAsia="黑体"/>
                <w:sz w:val="21"/>
              </w:rPr>
            </w:pPr>
            <w:r>
              <w:rPr>
                <w:rFonts w:hint="eastAsia" w:ascii="黑体" w:eastAsia="黑体"/>
                <w:sz w:val="21"/>
              </w:rPr>
              <w:t>项目</w:t>
            </w:r>
          </w:p>
        </w:tc>
        <w:tc>
          <w:tcPr>
            <w:tcW w:w="2145" w:type="dxa"/>
            <w:vAlign w:val="top"/>
          </w:tcPr>
          <w:p>
            <w:pPr>
              <w:pStyle w:val="7"/>
              <w:spacing w:before="127"/>
              <w:ind w:left="650"/>
              <w:rPr>
                <w:rFonts w:hint="eastAsia" w:ascii="黑体" w:eastAsia="黑体"/>
                <w:sz w:val="21"/>
              </w:rPr>
            </w:pPr>
            <w:r>
              <w:rPr>
                <w:rFonts w:hint="eastAsia" w:ascii="黑体" w:eastAsia="黑体"/>
                <w:sz w:val="21"/>
              </w:rPr>
              <w:t>检查内容</w:t>
            </w:r>
          </w:p>
        </w:tc>
        <w:tc>
          <w:tcPr>
            <w:tcW w:w="7306" w:type="dxa"/>
            <w:vAlign w:val="top"/>
          </w:tcPr>
          <w:p>
            <w:pPr>
              <w:pStyle w:val="7"/>
              <w:spacing w:before="127"/>
              <w:ind w:left="3212" w:right="3204"/>
              <w:jc w:val="center"/>
              <w:rPr>
                <w:rFonts w:hint="eastAsia" w:ascii="黑体" w:eastAsia="黑体"/>
                <w:sz w:val="21"/>
              </w:rPr>
            </w:pPr>
            <w:r>
              <w:rPr>
                <w:rFonts w:hint="eastAsia" w:ascii="黑体" w:eastAsia="黑体"/>
                <w:sz w:val="21"/>
              </w:rPr>
              <w:t>检查依据</w:t>
            </w:r>
          </w:p>
        </w:tc>
        <w:tc>
          <w:tcPr>
            <w:tcW w:w="2969" w:type="dxa"/>
            <w:vAlign w:val="top"/>
          </w:tcPr>
          <w:p>
            <w:pPr>
              <w:pStyle w:val="7"/>
              <w:spacing w:before="127"/>
              <w:ind w:left="537"/>
              <w:rPr>
                <w:rFonts w:hint="eastAsia" w:ascii="黑体" w:eastAsia="黑体"/>
                <w:sz w:val="21"/>
              </w:rPr>
            </w:pPr>
            <w:r>
              <w:rPr>
                <w:rFonts w:hint="eastAsia" w:ascii="黑体" w:eastAsia="黑体"/>
                <w:sz w:val="21"/>
              </w:rPr>
              <w:t>处罚依据和整改建议</w:t>
            </w:r>
          </w:p>
        </w:tc>
        <w:tc>
          <w:tcPr>
            <w:tcW w:w="774" w:type="dxa"/>
            <w:vAlign w:val="top"/>
          </w:tcPr>
          <w:p>
            <w:pPr>
              <w:pStyle w:val="7"/>
              <w:spacing w:before="127"/>
              <w:ind w:left="177"/>
              <w:rPr>
                <w:rFonts w:hint="eastAsia" w:ascii="黑体" w:eastAsia="黑体"/>
                <w:sz w:val="21"/>
              </w:rPr>
            </w:pPr>
            <w:r>
              <w:rPr>
                <w:rFonts w:hint="eastAsia" w:ascii="黑体" w:eastAsia="黑体"/>
                <w:sz w:val="21"/>
              </w:rPr>
              <w:t>备注</w:t>
            </w:r>
          </w:p>
        </w:tc>
      </w:tr>
      <w:tr>
        <w:trPr>
          <w:trHeight w:val="3614" w:hRule="atLeast"/>
        </w:trPr>
        <w:tc>
          <w:tcPr>
            <w:tcW w:w="657"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4"/>
              <w:rPr>
                <w:rFonts w:ascii="Times New Roman"/>
                <w:sz w:val="25"/>
              </w:rPr>
            </w:pPr>
          </w:p>
          <w:p>
            <w:pPr>
              <w:pStyle w:val="7"/>
              <w:ind w:left="96" w:right="90"/>
              <w:jc w:val="center"/>
              <w:rPr>
                <w:sz w:val="21"/>
              </w:rPr>
            </w:pPr>
            <w:r>
              <w:rPr>
                <w:sz w:val="21"/>
              </w:rPr>
              <w:t>24</w:t>
            </w:r>
          </w:p>
        </w:tc>
        <w:tc>
          <w:tcPr>
            <w:tcW w:w="656" w:type="dxa"/>
            <w:vMerge w:val="restart"/>
            <w:textDirection w:val="tbRl"/>
            <w:vAlign w:val="top"/>
          </w:tcPr>
          <w:p>
            <w:pPr>
              <w:pStyle w:val="7"/>
              <w:spacing w:before="34"/>
              <w:ind w:left="1958" w:right="1949"/>
              <w:jc w:val="center"/>
              <w:rPr>
                <w:rFonts w:hint="eastAsia" w:ascii="微软雅黑" w:eastAsia="微软雅黑"/>
                <w:b/>
                <w:sz w:val="21"/>
              </w:rPr>
            </w:pPr>
            <w:r>
              <w:rPr>
                <w:rFonts w:hint="eastAsia" w:ascii="微软雅黑" w:eastAsia="微软雅黑"/>
                <w:b/>
                <w:sz w:val="21"/>
              </w:rPr>
              <w:t>责 任 明 确 的 隐 患 排 查 治 理 机 制</w:t>
            </w:r>
          </w:p>
        </w:tc>
        <w:tc>
          <w:tcPr>
            <w:tcW w:w="711" w:type="dxa"/>
            <w:vMerge w:val="restart"/>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22" w:line="278" w:lineRule="auto"/>
              <w:ind w:left="108" w:right="172"/>
              <w:jc w:val="both"/>
              <w:rPr>
                <w:sz w:val="21"/>
              </w:rPr>
            </w:pPr>
            <w:r>
              <w:rPr>
                <w:sz w:val="21"/>
              </w:rPr>
              <w:t>制定隐患排查清单</w:t>
            </w:r>
          </w:p>
        </w:tc>
        <w:tc>
          <w:tcPr>
            <w:tcW w:w="2145"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6"/>
              <w:rPr>
                <w:rFonts w:ascii="Times New Roman"/>
                <w:sz w:val="17"/>
              </w:rPr>
            </w:pPr>
          </w:p>
          <w:p>
            <w:pPr>
              <w:pStyle w:val="7"/>
              <w:spacing w:line="278" w:lineRule="auto"/>
              <w:ind w:left="108" w:right="97"/>
              <w:jc w:val="both"/>
              <w:rPr>
                <w:sz w:val="21"/>
              </w:rPr>
            </w:pPr>
            <w:r>
              <w:rPr>
                <w:sz w:val="21"/>
              </w:rPr>
              <w:t>应建立生产现场类隐患排查清单，清单内的排查内容及标准应包含风险分级管控清单中各风险点、危险源及控制措施。</w:t>
            </w:r>
          </w:p>
        </w:tc>
        <w:tc>
          <w:tcPr>
            <w:tcW w:w="7306" w:type="dxa"/>
            <w:vMerge w:val="restart"/>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8"/>
              <w:rPr>
                <w:rFonts w:ascii="Times New Roman"/>
                <w:sz w:val="20"/>
              </w:rPr>
            </w:pPr>
          </w:p>
          <w:p>
            <w:pPr>
              <w:pStyle w:val="7"/>
              <w:spacing w:line="278" w:lineRule="auto"/>
              <w:ind w:left="108" w:right="95" w:firstLine="420"/>
              <w:jc w:val="both"/>
              <w:rPr>
                <w:sz w:val="21"/>
              </w:rPr>
            </w:pPr>
            <w:r>
              <w:rPr>
                <w:spacing w:val="-19"/>
                <w:sz w:val="21"/>
              </w:rPr>
              <w:t xml:space="preserve">《条例》第 </w:t>
            </w:r>
            <w:r>
              <w:rPr>
                <w:sz w:val="21"/>
              </w:rPr>
              <w:t>24</w:t>
            </w:r>
            <w:r>
              <w:rPr>
                <w:spacing w:val="-9"/>
                <w:sz w:val="21"/>
              </w:rPr>
              <w:t xml:space="preserve"> 条 生产经营单位应当建立健全安全生产事故隐患排查治理</w:t>
            </w:r>
            <w:r>
              <w:rPr>
                <w:spacing w:val="-8"/>
                <w:w w:val="95"/>
                <w:sz w:val="21"/>
              </w:rPr>
              <w:t xml:space="preserve">制度，明确本单位负责人和各岗位从业人员的排查治理责任，编制本单位事故  </w:t>
            </w:r>
            <w:r>
              <w:rPr>
                <w:spacing w:val="-8"/>
                <w:sz w:val="21"/>
              </w:rPr>
              <w:t>隐患排查治理标准清单，及时发现并消除事故隐患。</w:t>
            </w:r>
          </w:p>
          <w:p>
            <w:pPr>
              <w:pStyle w:val="7"/>
              <w:spacing w:line="278" w:lineRule="auto"/>
              <w:ind w:left="108" w:right="95" w:firstLine="420"/>
              <w:jc w:val="both"/>
              <w:rPr>
                <w:sz w:val="21"/>
              </w:rPr>
            </w:pPr>
            <w:r>
              <w:rPr>
                <w:spacing w:val="-4"/>
                <w:w w:val="95"/>
                <w:sz w:val="21"/>
              </w:rPr>
              <w:t xml:space="preserve">对于一般事故隐患，应当立即组织整改治理；对于重大事故隐患，应当及  </w:t>
            </w:r>
            <w:r>
              <w:rPr>
                <w:spacing w:val="3"/>
                <w:w w:val="95"/>
                <w:sz w:val="21"/>
              </w:rPr>
              <w:t xml:space="preserve">时制定治理方案并向县级以上人民政府负有安全生产监督管理职责的部门报  </w:t>
            </w:r>
            <w:r>
              <w:rPr>
                <w:spacing w:val="3"/>
                <w:sz w:val="21"/>
              </w:rPr>
              <w:t>告，根据治理方案采取相应措施予以消除，治理完毕后应当组织验收。</w:t>
            </w:r>
          </w:p>
          <w:p>
            <w:pPr>
              <w:pStyle w:val="7"/>
              <w:spacing w:line="278" w:lineRule="auto"/>
              <w:ind w:left="108" w:right="-15" w:firstLine="420"/>
              <w:rPr>
                <w:sz w:val="21"/>
              </w:rPr>
            </w:pPr>
            <w:r>
              <w:rPr>
                <w:spacing w:val="3"/>
                <w:sz w:val="21"/>
              </w:rPr>
              <w:t>生产经营单位在事故隐患治理过程中，应当采取必要的措施防止事故发</w:t>
            </w:r>
            <w:r>
              <w:rPr>
                <w:spacing w:val="-7"/>
                <w:sz w:val="21"/>
              </w:rPr>
              <w:t>生。无法保证安全的，应当从危险区域内撤出作业人员，及时疏散可能危及的</w:t>
            </w:r>
            <w:r>
              <w:rPr>
                <w:spacing w:val="-9"/>
                <w:sz w:val="21"/>
              </w:rPr>
              <w:t>其他人员，暂时停产停业或者停止使用相关设施、设备和装置，并设置警示标</w:t>
            </w:r>
            <w:r>
              <w:rPr>
                <w:spacing w:val="-14"/>
                <w:w w:val="95"/>
                <w:sz w:val="21"/>
              </w:rPr>
              <w:t xml:space="preserve">志，必要时应当派员值守；对难以停产或者停止使用的相关设施、设备和装置，  </w:t>
            </w:r>
            <w:r>
              <w:rPr>
                <w:spacing w:val="-14"/>
                <w:sz w:val="21"/>
              </w:rPr>
              <w:t>应当加强监护，防止事故发生。</w:t>
            </w:r>
          </w:p>
          <w:p>
            <w:pPr>
              <w:pStyle w:val="7"/>
              <w:spacing w:line="278" w:lineRule="auto"/>
              <w:ind w:left="108" w:right="97" w:firstLine="420"/>
              <w:rPr>
                <w:sz w:val="21"/>
              </w:rPr>
            </w:pPr>
            <w:r>
              <w:rPr>
                <w:spacing w:val="-2"/>
                <w:w w:val="95"/>
                <w:sz w:val="21"/>
              </w:rPr>
              <w:t xml:space="preserve">生产经营单位应当每月对事故隐患排查治理情况进行统计分析，向负有安  </w:t>
            </w:r>
            <w:r>
              <w:rPr>
                <w:spacing w:val="-2"/>
                <w:sz w:val="21"/>
              </w:rPr>
              <w:t>全生产监督管理职责的部门报告，并向从业人员通报。</w:t>
            </w:r>
          </w:p>
          <w:p>
            <w:pPr>
              <w:pStyle w:val="7"/>
              <w:spacing w:line="269" w:lineRule="exact"/>
              <w:ind w:left="528"/>
              <w:jc w:val="both"/>
              <w:rPr>
                <w:sz w:val="21"/>
              </w:rPr>
            </w:pPr>
            <w:r>
              <w:rPr>
                <w:spacing w:val="-29"/>
                <w:sz w:val="21"/>
              </w:rPr>
              <w:t xml:space="preserve">第 </w:t>
            </w:r>
            <w:r>
              <w:rPr>
                <w:sz w:val="21"/>
              </w:rPr>
              <w:t>25</w:t>
            </w:r>
            <w:r>
              <w:rPr>
                <w:spacing w:val="-8"/>
                <w:sz w:val="21"/>
              </w:rPr>
              <w:t xml:space="preserve"> 条 有下列情形之一的，生产经营单位应当进行专项事故隐患排查：</w:t>
            </w:r>
          </w:p>
          <w:p>
            <w:pPr>
              <w:pStyle w:val="7"/>
              <w:spacing w:before="41" w:line="278" w:lineRule="auto"/>
              <w:ind w:left="108" w:right="47"/>
              <w:jc w:val="both"/>
              <w:rPr>
                <w:sz w:val="21"/>
              </w:rPr>
            </w:pPr>
            <w:r>
              <w:rPr>
                <w:sz w:val="21"/>
              </w:rPr>
              <w:t>（一</w:t>
            </w:r>
            <w:r>
              <w:rPr>
                <w:spacing w:val="-17"/>
                <w:sz w:val="21"/>
              </w:rPr>
              <w:t>）</w:t>
            </w:r>
            <w:r>
              <w:rPr>
                <w:spacing w:val="-3"/>
                <w:sz w:val="21"/>
              </w:rPr>
              <w:t>有关安全生产的法律、法规、规章发布或者修改后安全生产标准发生变</w:t>
            </w:r>
            <w:r>
              <w:rPr>
                <w:spacing w:val="-5"/>
                <w:sz w:val="21"/>
              </w:rPr>
              <w:t>化；</w:t>
            </w:r>
            <w:r>
              <w:rPr>
                <w:spacing w:val="-6"/>
                <w:sz w:val="21"/>
              </w:rPr>
              <w:t>（</w:t>
            </w:r>
            <w:r>
              <w:rPr>
                <w:sz w:val="21"/>
              </w:rPr>
              <w:t>二</w:t>
            </w:r>
            <w:r>
              <w:rPr>
                <w:spacing w:val="-5"/>
                <w:sz w:val="21"/>
              </w:rPr>
              <w:t>）</w:t>
            </w:r>
            <w:r>
              <w:rPr>
                <w:spacing w:val="-3"/>
                <w:sz w:val="21"/>
              </w:rPr>
              <w:t>作业条件、设备设施、工艺技术改变；</w:t>
            </w:r>
            <w:r>
              <w:rPr>
                <w:spacing w:val="-5"/>
                <w:sz w:val="21"/>
              </w:rPr>
              <w:t>（</w:t>
            </w:r>
            <w:r>
              <w:rPr>
                <w:sz w:val="21"/>
              </w:rPr>
              <w:t>三</w:t>
            </w:r>
            <w:r>
              <w:rPr>
                <w:spacing w:val="-5"/>
                <w:sz w:val="21"/>
              </w:rPr>
              <w:t>）</w:t>
            </w:r>
            <w:r>
              <w:rPr>
                <w:spacing w:val="-1"/>
                <w:sz w:val="21"/>
              </w:rPr>
              <w:t>复工复产、发生事故</w:t>
            </w:r>
            <w:r>
              <w:rPr>
                <w:spacing w:val="-1"/>
                <w:w w:val="95"/>
                <w:sz w:val="21"/>
              </w:rPr>
              <w:t xml:space="preserve">或者险情；（四）汛期、极端或者异常天气、重大节假日、大型活动；（五）  </w:t>
            </w:r>
            <w:r>
              <w:rPr>
                <w:spacing w:val="-1"/>
                <w:sz w:val="21"/>
              </w:rPr>
              <w:t>应当进行专项事故隐患排查的其他情况。</w:t>
            </w:r>
          </w:p>
        </w:tc>
        <w:tc>
          <w:tcPr>
            <w:tcW w:w="2969"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8"/>
              <w:rPr>
                <w:rFonts w:ascii="Times New Roman"/>
                <w:sz w:val="24"/>
              </w:rPr>
            </w:pPr>
          </w:p>
          <w:p>
            <w:pPr>
              <w:pStyle w:val="7"/>
              <w:spacing w:line="278" w:lineRule="auto"/>
              <w:ind w:left="108" w:right="95" w:firstLine="420"/>
              <w:jc w:val="both"/>
              <w:rPr>
                <w:sz w:val="21"/>
              </w:rPr>
            </w:pPr>
            <w:r>
              <w:rPr>
                <w:sz w:val="21"/>
              </w:rPr>
              <w:t>检查发现存在不符合有关法律法规规定、标准规范要求或企业实际情况的，责令限期整改。</w:t>
            </w:r>
          </w:p>
        </w:tc>
        <w:tc>
          <w:tcPr>
            <w:tcW w:w="774" w:type="dxa"/>
            <w:vAlign w:val="top"/>
          </w:tcPr>
          <w:p>
            <w:pPr>
              <w:pStyle w:val="7"/>
              <w:rPr>
                <w:rFonts w:ascii="Times New Roman"/>
                <w:sz w:val="20"/>
              </w:rPr>
            </w:pPr>
          </w:p>
        </w:tc>
      </w:tr>
      <w:tr>
        <w:trPr>
          <w:trHeight w:val="3805" w:hRule="atLeast"/>
        </w:trPr>
        <w:tc>
          <w:tcPr>
            <w:tcW w:w="657"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58"/>
              <w:ind w:left="96" w:right="90"/>
              <w:jc w:val="center"/>
              <w:rPr>
                <w:sz w:val="21"/>
              </w:rPr>
            </w:pPr>
            <w:r>
              <w:rPr>
                <w:sz w:val="21"/>
              </w:rPr>
              <w:t>25</w:t>
            </w:r>
          </w:p>
        </w:tc>
        <w:tc>
          <w:tcPr>
            <w:tcW w:w="656" w:type="dxa"/>
            <w:vMerge w:val="continue"/>
            <w:tcBorders>
              <w:top w:val="nil"/>
            </w:tcBorders>
            <w:textDirection w:val="tbRl"/>
            <w:vAlign w:val="top"/>
          </w:tcPr>
          <w:p>
            <w:pPr>
              <w:rPr>
                <w:sz w:val="2"/>
                <w:szCs w:val="2"/>
              </w:rPr>
            </w:pPr>
          </w:p>
        </w:tc>
        <w:tc>
          <w:tcPr>
            <w:tcW w:w="711" w:type="dxa"/>
            <w:vMerge w:val="continue"/>
            <w:tcBorders>
              <w:top w:val="nil"/>
            </w:tcBorders>
            <w:vAlign w:val="top"/>
          </w:tcPr>
          <w:p>
            <w:pPr>
              <w:rPr>
                <w:sz w:val="2"/>
                <w:szCs w:val="2"/>
              </w:rPr>
            </w:pPr>
          </w:p>
        </w:tc>
        <w:tc>
          <w:tcPr>
            <w:tcW w:w="2145"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0"/>
              <w:rPr>
                <w:rFonts w:ascii="Times New Roman"/>
                <w:sz w:val="25"/>
              </w:rPr>
            </w:pPr>
          </w:p>
          <w:p>
            <w:pPr>
              <w:pStyle w:val="7"/>
              <w:spacing w:line="278" w:lineRule="auto"/>
              <w:ind w:left="108" w:right="97"/>
              <w:jc w:val="both"/>
              <w:rPr>
                <w:sz w:val="21"/>
              </w:rPr>
            </w:pPr>
            <w:r>
              <w:rPr>
                <w:sz w:val="21"/>
              </w:rPr>
              <w:t>应建立基础管理类隐患排查清单，清单内的排查项目及标准应符合有关法律法规规定和双重预防体系相关地方标准要求。</w:t>
            </w:r>
          </w:p>
        </w:tc>
        <w:tc>
          <w:tcPr>
            <w:tcW w:w="7306" w:type="dxa"/>
            <w:vMerge w:val="continue"/>
            <w:tcBorders>
              <w:top w:val="nil"/>
            </w:tcBorders>
            <w:vAlign w:val="top"/>
          </w:tcPr>
          <w:p>
            <w:pPr>
              <w:rPr>
                <w:sz w:val="2"/>
                <w:szCs w:val="2"/>
              </w:rPr>
            </w:pPr>
          </w:p>
        </w:tc>
        <w:tc>
          <w:tcPr>
            <w:tcW w:w="2969"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50" w:line="278" w:lineRule="auto"/>
              <w:ind w:left="108" w:right="95" w:firstLine="420"/>
              <w:jc w:val="both"/>
              <w:rPr>
                <w:sz w:val="21"/>
              </w:rPr>
            </w:pPr>
            <w:r>
              <w:rPr>
                <w:sz w:val="21"/>
              </w:rPr>
              <w:t>检查发现存在不符合有关法律法规规定、标准规范要求或企业实际情况的，责令限期整改</w:t>
            </w:r>
          </w:p>
        </w:tc>
        <w:tc>
          <w:tcPr>
            <w:tcW w:w="774" w:type="dxa"/>
            <w:vAlign w:val="top"/>
          </w:tcPr>
          <w:p>
            <w:pPr>
              <w:pStyle w:val="7"/>
              <w:rPr>
                <w:rFonts w:ascii="Times New Roman"/>
                <w:sz w:val="20"/>
              </w:rPr>
            </w:pPr>
          </w:p>
        </w:tc>
      </w:tr>
    </w:tbl>
    <w:p>
      <w:pPr>
        <w:spacing w:after="0"/>
        <w:rPr>
          <w:rFonts w:ascii="Times New Roman"/>
          <w:sz w:val="20"/>
        </w:rPr>
        <w:sectPr>
          <w:footerReference r:id="rId6" w:type="default"/>
          <w:pgSz w:w="16840" w:h="11910" w:orient="landscape"/>
          <w:pgMar w:top="1100" w:right="700" w:bottom="1100" w:left="700" w:header="0" w:footer="907" w:gutter="0"/>
          <w:pgNumType w:start="2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W w:w="15218"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7"/>
        <w:gridCol w:w="656"/>
        <w:gridCol w:w="711"/>
        <w:gridCol w:w="2145"/>
        <w:gridCol w:w="7306"/>
        <w:gridCol w:w="2969"/>
        <w:gridCol w:w="774"/>
      </w:tblGrid>
      <w:tr>
        <w:trPr>
          <w:trHeight w:val="523" w:hRule="atLeast"/>
        </w:trPr>
        <w:tc>
          <w:tcPr>
            <w:tcW w:w="657" w:type="dxa"/>
            <w:vAlign w:val="top"/>
          </w:tcPr>
          <w:p>
            <w:pPr>
              <w:pStyle w:val="7"/>
              <w:spacing w:before="127"/>
              <w:ind w:left="97" w:right="90"/>
              <w:jc w:val="center"/>
              <w:rPr>
                <w:rFonts w:hint="eastAsia" w:ascii="黑体" w:eastAsia="黑体"/>
                <w:sz w:val="21"/>
              </w:rPr>
            </w:pPr>
            <w:r>
              <w:rPr>
                <w:rFonts w:hint="eastAsia" w:ascii="黑体" w:eastAsia="黑体"/>
                <w:sz w:val="21"/>
              </w:rPr>
              <w:t>序号</w:t>
            </w:r>
          </w:p>
        </w:tc>
        <w:tc>
          <w:tcPr>
            <w:tcW w:w="656" w:type="dxa"/>
            <w:vAlign w:val="top"/>
          </w:tcPr>
          <w:p>
            <w:pPr>
              <w:pStyle w:val="7"/>
              <w:spacing w:before="127"/>
              <w:ind w:left="116"/>
              <w:rPr>
                <w:rFonts w:hint="eastAsia" w:ascii="黑体" w:eastAsia="黑体"/>
                <w:sz w:val="21"/>
              </w:rPr>
            </w:pPr>
            <w:r>
              <w:rPr>
                <w:rFonts w:hint="eastAsia" w:ascii="黑体" w:eastAsia="黑体"/>
                <w:sz w:val="21"/>
              </w:rPr>
              <w:t>类别</w:t>
            </w:r>
          </w:p>
        </w:tc>
        <w:tc>
          <w:tcPr>
            <w:tcW w:w="711" w:type="dxa"/>
            <w:vAlign w:val="top"/>
          </w:tcPr>
          <w:p>
            <w:pPr>
              <w:pStyle w:val="7"/>
              <w:spacing w:before="127"/>
              <w:ind w:left="144"/>
              <w:rPr>
                <w:rFonts w:hint="eastAsia" w:ascii="黑体" w:eastAsia="黑体"/>
                <w:sz w:val="21"/>
              </w:rPr>
            </w:pPr>
            <w:r>
              <w:rPr>
                <w:rFonts w:hint="eastAsia" w:ascii="黑体" w:eastAsia="黑体"/>
                <w:sz w:val="21"/>
              </w:rPr>
              <w:t>项目</w:t>
            </w:r>
          </w:p>
        </w:tc>
        <w:tc>
          <w:tcPr>
            <w:tcW w:w="2145" w:type="dxa"/>
            <w:vAlign w:val="top"/>
          </w:tcPr>
          <w:p>
            <w:pPr>
              <w:pStyle w:val="7"/>
              <w:spacing w:before="127"/>
              <w:ind w:left="650"/>
              <w:rPr>
                <w:rFonts w:hint="eastAsia" w:ascii="黑体" w:eastAsia="黑体"/>
                <w:sz w:val="21"/>
              </w:rPr>
            </w:pPr>
            <w:r>
              <w:rPr>
                <w:rFonts w:hint="eastAsia" w:ascii="黑体" w:eastAsia="黑体"/>
                <w:sz w:val="21"/>
              </w:rPr>
              <w:t>检查内容</w:t>
            </w:r>
          </w:p>
        </w:tc>
        <w:tc>
          <w:tcPr>
            <w:tcW w:w="7306" w:type="dxa"/>
            <w:vAlign w:val="top"/>
          </w:tcPr>
          <w:p>
            <w:pPr>
              <w:pStyle w:val="7"/>
              <w:spacing w:before="127"/>
              <w:ind w:left="3212" w:right="3204"/>
              <w:jc w:val="center"/>
              <w:rPr>
                <w:rFonts w:hint="eastAsia" w:ascii="黑体" w:eastAsia="黑体"/>
                <w:sz w:val="21"/>
              </w:rPr>
            </w:pPr>
            <w:r>
              <w:rPr>
                <w:rFonts w:hint="eastAsia" w:ascii="黑体" w:eastAsia="黑体"/>
                <w:sz w:val="21"/>
              </w:rPr>
              <w:t>检查依据</w:t>
            </w:r>
          </w:p>
        </w:tc>
        <w:tc>
          <w:tcPr>
            <w:tcW w:w="2969" w:type="dxa"/>
            <w:vAlign w:val="top"/>
          </w:tcPr>
          <w:p>
            <w:pPr>
              <w:pStyle w:val="7"/>
              <w:spacing w:before="127"/>
              <w:ind w:left="537"/>
              <w:rPr>
                <w:rFonts w:hint="eastAsia" w:ascii="黑体" w:eastAsia="黑体"/>
                <w:sz w:val="21"/>
              </w:rPr>
            </w:pPr>
            <w:r>
              <w:rPr>
                <w:rFonts w:hint="eastAsia" w:ascii="黑体" w:eastAsia="黑体"/>
                <w:sz w:val="21"/>
              </w:rPr>
              <w:t>处罚依据和整改建议</w:t>
            </w:r>
          </w:p>
        </w:tc>
        <w:tc>
          <w:tcPr>
            <w:tcW w:w="774" w:type="dxa"/>
            <w:vAlign w:val="top"/>
          </w:tcPr>
          <w:p>
            <w:pPr>
              <w:pStyle w:val="7"/>
              <w:spacing w:before="127"/>
              <w:ind w:left="177"/>
              <w:rPr>
                <w:rFonts w:hint="eastAsia" w:ascii="黑体" w:eastAsia="黑体"/>
                <w:sz w:val="21"/>
              </w:rPr>
            </w:pPr>
            <w:r>
              <w:rPr>
                <w:rFonts w:hint="eastAsia" w:ascii="黑体" w:eastAsia="黑体"/>
                <w:sz w:val="21"/>
              </w:rPr>
              <w:t>备注</w:t>
            </w:r>
          </w:p>
        </w:tc>
      </w:tr>
      <w:tr>
        <w:trPr>
          <w:trHeight w:val="2747" w:hRule="atLeast"/>
        </w:trPr>
        <w:tc>
          <w:tcPr>
            <w:tcW w:w="657"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7"/>
              <w:rPr>
                <w:rFonts w:ascii="Times New Roman"/>
                <w:sz w:val="27"/>
              </w:rPr>
            </w:pPr>
          </w:p>
          <w:p>
            <w:pPr>
              <w:pStyle w:val="7"/>
              <w:ind w:left="96" w:right="90"/>
              <w:jc w:val="center"/>
              <w:rPr>
                <w:sz w:val="21"/>
              </w:rPr>
            </w:pPr>
            <w:r>
              <w:rPr>
                <w:sz w:val="21"/>
              </w:rPr>
              <w:t>26</w:t>
            </w:r>
          </w:p>
        </w:tc>
        <w:tc>
          <w:tcPr>
            <w:tcW w:w="656" w:type="dxa"/>
            <w:vMerge w:val="restart"/>
            <w:textDirection w:val="tbRl"/>
            <w:vAlign w:val="top"/>
          </w:tcPr>
          <w:p>
            <w:pPr>
              <w:pStyle w:val="7"/>
              <w:spacing w:before="34"/>
              <w:ind w:left="1684" w:right="1674"/>
              <w:jc w:val="center"/>
              <w:rPr>
                <w:rFonts w:hint="eastAsia" w:ascii="微软雅黑" w:eastAsia="微软雅黑"/>
                <w:b/>
                <w:sz w:val="21"/>
              </w:rPr>
            </w:pPr>
            <w:r>
              <w:rPr>
                <w:rFonts w:hint="eastAsia" w:ascii="微软雅黑" w:eastAsia="微软雅黑"/>
                <w:b/>
                <w:sz w:val="21"/>
              </w:rPr>
              <w:t>责 任 明 确 的 隐 患 排 查 治 理 机 制</w:t>
            </w:r>
          </w:p>
        </w:tc>
        <w:tc>
          <w:tcPr>
            <w:tcW w:w="711" w:type="dxa"/>
            <w:vMerge w:val="restart"/>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2"/>
              <w:rPr>
                <w:rFonts w:ascii="Times New Roman"/>
                <w:sz w:val="24"/>
              </w:rPr>
            </w:pPr>
          </w:p>
          <w:p>
            <w:pPr>
              <w:pStyle w:val="7"/>
              <w:spacing w:line="278" w:lineRule="auto"/>
              <w:ind w:left="108" w:right="172"/>
              <w:jc w:val="both"/>
              <w:rPr>
                <w:sz w:val="21"/>
              </w:rPr>
            </w:pPr>
            <w:r>
              <w:rPr>
                <w:sz w:val="21"/>
              </w:rPr>
              <w:t>隐患排查实施</w:t>
            </w:r>
          </w:p>
        </w:tc>
        <w:tc>
          <w:tcPr>
            <w:tcW w:w="2145" w:type="dxa"/>
            <w:vAlign w:val="top"/>
          </w:tcPr>
          <w:p>
            <w:pPr>
              <w:pStyle w:val="7"/>
              <w:rPr>
                <w:rFonts w:ascii="Times New Roman"/>
                <w:sz w:val="20"/>
              </w:rPr>
            </w:pPr>
          </w:p>
          <w:p>
            <w:pPr>
              <w:pStyle w:val="7"/>
              <w:spacing w:before="9"/>
              <w:rPr>
                <w:rFonts w:ascii="Times New Roman"/>
                <w:sz w:val="19"/>
              </w:rPr>
            </w:pPr>
          </w:p>
          <w:p>
            <w:pPr>
              <w:pStyle w:val="7"/>
              <w:spacing w:line="278" w:lineRule="auto"/>
              <w:ind w:left="108" w:right="97"/>
              <w:jc w:val="both"/>
              <w:rPr>
                <w:sz w:val="21"/>
              </w:rPr>
            </w:pPr>
            <w:r>
              <w:rPr>
                <w:sz w:val="21"/>
              </w:rPr>
              <w:t>应依据隐患排查清单，结合组织级别、排查类型等排查内容，编制各类型隐患排查标准（表），并严格对照排查。</w:t>
            </w:r>
          </w:p>
        </w:tc>
        <w:tc>
          <w:tcPr>
            <w:tcW w:w="7306" w:type="dxa"/>
            <w:vMerge w:val="restart"/>
            <w:vAlign w:val="top"/>
          </w:tcPr>
          <w:p>
            <w:pPr>
              <w:pStyle w:val="7"/>
              <w:rPr>
                <w:rFonts w:ascii="Times New Roman"/>
                <w:sz w:val="20"/>
              </w:rPr>
            </w:pPr>
          </w:p>
          <w:p>
            <w:pPr>
              <w:pStyle w:val="7"/>
              <w:rPr>
                <w:rFonts w:ascii="Times New Roman"/>
                <w:sz w:val="20"/>
              </w:rPr>
            </w:pPr>
          </w:p>
          <w:p>
            <w:pPr>
              <w:pStyle w:val="7"/>
              <w:spacing w:before="1"/>
              <w:rPr>
                <w:rFonts w:ascii="Times New Roman"/>
                <w:sz w:val="27"/>
              </w:rPr>
            </w:pPr>
          </w:p>
          <w:p>
            <w:pPr>
              <w:pStyle w:val="7"/>
              <w:spacing w:line="278" w:lineRule="auto"/>
              <w:ind w:left="108" w:right="95" w:firstLine="314"/>
              <w:jc w:val="both"/>
              <w:rPr>
                <w:sz w:val="21"/>
              </w:rPr>
            </w:pPr>
            <w:r>
              <w:rPr>
                <w:spacing w:val="-8"/>
                <w:sz w:val="21"/>
              </w:rPr>
              <w:t xml:space="preserve">《安法》第 </w:t>
            </w:r>
            <w:r>
              <w:rPr>
                <w:sz w:val="21"/>
              </w:rPr>
              <w:t>38</w:t>
            </w:r>
            <w:r>
              <w:rPr>
                <w:spacing w:val="-6"/>
                <w:sz w:val="21"/>
              </w:rPr>
              <w:t xml:space="preserve"> 条第一款： 生产经营单位应当建立健全生产安全事故隐患</w:t>
            </w:r>
            <w:r>
              <w:rPr>
                <w:spacing w:val="-10"/>
                <w:w w:val="95"/>
                <w:sz w:val="21"/>
              </w:rPr>
              <w:t xml:space="preserve">排查治理制度，采取技术、管理措施，及时发现并消除事故隐患。事故隐患排  </w:t>
            </w:r>
            <w:r>
              <w:rPr>
                <w:spacing w:val="-10"/>
                <w:sz w:val="21"/>
              </w:rPr>
              <w:t>查治理情况应当如实记录，并向从业人员通报。</w:t>
            </w:r>
          </w:p>
          <w:p>
            <w:pPr>
              <w:pStyle w:val="7"/>
              <w:spacing w:line="278" w:lineRule="auto"/>
              <w:ind w:left="108" w:right="95" w:firstLine="314"/>
              <w:jc w:val="both"/>
              <w:rPr>
                <w:sz w:val="21"/>
              </w:rPr>
            </w:pPr>
            <w:r>
              <w:rPr>
                <w:spacing w:val="-8"/>
                <w:sz w:val="21"/>
              </w:rPr>
              <w:t xml:space="preserve">《条例》第 </w:t>
            </w:r>
            <w:r>
              <w:rPr>
                <w:sz w:val="21"/>
              </w:rPr>
              <w:t>24</w:t>
            </w:r>
            <w:r>
              <w:rPr>
                <w:spacing w:val="-5"/>
                <w:sz w:val="21"/>
              </w:rPr>
              <w:t xml:space="preserve"> 条 生产经营单位应当建立健全安全生产事故隐患排查治理</w:t>
            </w:r>
            <w:r>
              <w:rPr>
                <w:spacing w:val="-7"/>
                <w:w w:val="95"/>
                <w:sz w:val="21"/>
              </w:rPr>
              <w:t xml:space="preserve">制度，明确本单位负责人和各岗位从业人员的排查治理责任，编制本单位事故  </w:t>
            </w:r>
            <w:r>
              <w:rPr>
                <w:spacing w:val="-7"/>
                <w:sz w:val="21"/>
              </w:rPr>
              <w:t>隐患排查治理标准清单，及时发现并消除事故隐患。</w:t>
            </w:r>
          </w:p>
          <w:p>
            <w:pPr>
              <w:pStyle w:val="7"/>
              <w:spacing w:line="278" w:lineRule="auto"/>
              <w:ind w:left="108" w:right="97"/>
              <w:jc w:val="both"/>
              <w:rPr>
                <w:sz w:val="21"/>
              </w:rPr>
            </w:pPr>
            <w:r>
              <w:rPr>
                <w:spacing w:val="-4"/>
                <w:w w:val="95"/>
                <w:sz w:val="21"/>
              </w:rPr>
              <w:t xml:space="preserve">对于一般事故隐患，应当立即组织整改治理；对于重大事故隐患，应当及时制  </w:t>
            </w:r>
            <w:r>
              <w:rPr>
                <w:spacing w:val="-6"/>
                <w:w w:val="95"/>
                <w:sz w:val="21"/>
              </w:rPr>
              <w:t xml:space="preserve">定治理方案并向县级以上人民政府负有安全生产监督管理职责的部门报告，根  </w:t>
            </w:r>
            <w:r>
              <w:rPr>
                <w:spacing w:val="-6"/>
                <w:sz w:val="21"/>
              </w:rPr>
              <w:t>据治理方案采取相应措施予以消除，治理完毕后应当组织验收。</w:t>
            </w:r>
          </w:p>
          <w:p>
            <w:pPr>
              <w:pStyle w:val="7"/>
              <w:spacing w:line="278" w:lineRule="auto"/>
              <w:ind w:left="108" w:right="-15" w:firstLine="420"/>
              <w:rPr>
                <w:sz w:val="21"/>
              </w:rPr>
            </w:pPr>
            <w:r>
              <w:rPr>
                <w:spacing w:val="3"/>
                <w:sz w:val="21"/>
              </w:rPr>
              <w:t>生产经营单位在事故隐患治理过程中，应当采取必要的措施防止事故发</w:t>
            </w:r>
            <w:r>
              <w:rPr>
                <w:spacing w:val="-7"/>
                <w:sz w:val="21"/>
              </w:rPr>
              <w:t>生。无法保证安全的，应当从危险区域内撤出作业人员，及时疏散可能危及的</w:t>
            </w:r>
            <w:r>
              <w:rPr>
                <w:spacing w:val="-9"/>
                <w:sz w:val="21"/>
              </w:rPr>
              <w:t>其他人员，暂时停产停业或者停止使用相关设施、设备和装置，并设置警示标</w:t>
            </w:r>
            <w:r>
              <w:rPr>
                <w:spacing w:val="-14"/>
                <w:w w:val="95"/>
                <w:sz w:val="21"/>
              </w:rPr>
              <w:t xml:space="preserve">志，必要时应当派员值守；对难以停产或者停止使用的相关设施、设备和装置，  </w:t>
            </w:r>
            <w:r>
              <w:rPr>
                <w:spacing w:val="-14"/>
                <w:sz w:val="21"/>
              </w:rPr>
              <w:t>应当加强监护，防止事故发生。</w:t>
            </w:r>
          </w:p>
          <w:p>
            <w:pPr>
              <w:pStyle w:val="7"/>
              <w:spacing w:line="278" w:lineRule="auto"/>
              <w:ind w:left="108" w:right="97" w:firstLine="420"/>
              <w:rPr>
                <w:sz w:val="21"/>
              </w:rPr>
            </w:pPr>
            <w:r>
              <w:rPr>
                <w:spacing w:val="-2"/>
                <w:w w:val="95"/>
                <w:sz w:val="21"/>
              </w:rPr>
              <w:t xml:space="preserve">生产经营单位应当每月对事故隐患排查治理情况进行统计分析，向负有安  </w:t>
            </w:r>
            <w:r>
              <w:rPr>
                <w:spacing w:val="-2"/>
                <w:sz w:val="21"/>
              </w:rPr>
              <w:t>全生产监督管理职责的部门报告，并向从业人员通报。</w:t>
            </w:r>
          </w:p>
          <w:p>
            <w:pPr>
              <w:pStyle w:val="7"/>
              <w:spacing w:line="278" w:lineRule="auto"/>
              <w:ind w:left="108" w:right="95" w:firstLine="314"/>
              <w:jc w:val="both"/>
              <w:rPr>
                <w:sz w:val="21"/>
              </w:rPr>
            </w:pPr>
            <w:r>
              <w:rPr>
                <w:spacing w:val="-19"/>
                <w:sz w:val="21"/>
              </w:rPr>
              <w:t xml:space="preserve">《办法》第 </w:t>
            </w:r>
            <w:r>
              <w:rPr>
                <w:sz w:val="21"/>
              </w:rPr>
              <w:t>15 条 生产经营单位的安全生产管理人员和其他从业人员应当</w:t>
            </w:r>
            <w:r>
              <w:rPr>
                <w:spacing w:val="-5"/>
                <w:w w:val="95"/>
                <w:sz w:val="21"/>
              </w:rPr>
              <w:t xml:space="preserve">根据岗位职责，依据风险管控清单，对风险部位、风险管控措施或者专项应急  </w:t>
            </w:r>
            <w:r>
              <w:rPr>
                <w:spacing w:val="-5"/>
                <w:sz w:val="21"/>
              </w:rPr>
              <w:t>预案的落实情况进行定期排查。</w:t>
            </w:r>
          </w:p>
        </w:tc>
        <w:tc>
          <w:tcPr>
            <w:tcW w:w="2969" w:type="dxa"/>
            <w:vMerge w:val="restart"/>
            <w:vAlign w:val="top"/>
          </w:tcPr>
          <w:p>
            <w:pPr>
              <w:pStyle w:val="7"/>
              <w:rPr>
                <w:rFonts w:ascii="Times New Roman"/>
                <w:sz w:val="20"/>
              </w:rPr>
            </w:pPr>
          </w:p>
          <w:p>
            <w:pPr>
              <w:pStyle w:val="7"/>
              <w:rPr>
                <w:rFonts w:ascii="Times New Roman"/>
                <w:sz w:val="20"/>
              </w:rPr>
            </w:pPr>
          </w:p>
          <w:p>
            <w:pPr>
              <w:pStyle w:val="7"/>
              <w:spacing w:before="1"/>
              <w:rPr>
                <w:rFonts w:ascii="Times New Roman"/>
                <w:sz w:val="27"/>
              </w:rPr>
            </w:pPr>
          </w:p>
          <w:p>
            <w:pPr>
              <w:pStyle w:val="7"/>
              <w:spacing w:line="278" w:lineRule="auto"/>
              <w:ind w:left="108" w:right="95" w:firstLine="208"/>
              <w:jc w:val="both"/>
              <w:rPr>
                <w:sz w:val="21"/>
              </w:rPr>
            </w:pPr>
            <w:r>
              <w:rPr>
                <w:spacing w:val="-17"/>
                <w:sz w:val="21"/>
              </w:rPr>
              <w:t xml:space="preserve">《安法》第 </w:t>
            </w:r>
            <w:r>
              <w:rPr>
                <w:sz w:val="21"/>
              </w:rPr>
              <w:t>94</w:t>
            </w:r>
            <w:r>
              <w:rPr>
                <w:spacing w:val="-15"/>
                <w:sz w:val="21"/>
              </w:rPr>
              <w:t xml:space="preserve"> 条第五项：责</w:t>
            </w:r>
            <w:r>
              <w:rPr>
                <w:spacing w:val="-3"/>
                <w:sz w:val="21"/>
              </w:rPr>
              <w:t>令限期改正，可以处五万元以</w:t>
            </w:r>
            <w:r>
              <w:rPr>
                <w:spacing w:val="-1"/>
                <w:sz w:val="21"/>
              </w:rPr>
              <w:t>下的罚款；逾期未改正的，责令停产停业整顿，并处五万元以上十万元以下的罚款，对其直接负责的主管人员和其他直接责任人员处一万元以上二万</w:t>
            </w:r>
            <w:r>
              <w:rPr>
                <w:sz w:val="21"/>
              </w:rPr>
              <w:t>元以下的罚款。</w:t>
            </w:r>
          </w:p>
          <w:p>
            <w:pPr>
              <w:pStyle w:val="7"/>
              <w:spacing w:line="278" w:lineRule="auto"/>
              <w:ind w:left="108" w:right="95" w:firstLine="314"/>
              <w:jc w:val="both"/>
              <w:rPr>
                <w:sz w:val="21"/>
              </w:rPr>
            </w:pPr>
            <w:r>
              <w:rPr>
                <w:spacing w:val="-21"/>
                <w:sz w:val="21"/>
              </w:rPr>
              <w:t xml:space="preserve">第 </w:t>
            </w:r>
            <w:r>
              <w:rPr>
                <w:sz w:val="21"/>
              </w:rPr>
              <w:t>99</w:t>
            </w:r>
            <w:r>
              <w:rPr>
                <w:spacing w:val="3"/>
                <w:sz w:val="21"/>
              </w:rPr>
              <w:t xml:space="preserve"> 条 生产经营单位未</w:t>
            </w:r>
            <w:r>
              <w:rPr>
                <w:spacing w:val="-1"/>
                <w:sz w:val="21"/>
              </w:rPr>
              <w:t>采取措施消除事故隐患的，责令立即消除或者限期消除；生产经营单位拒不执行的，责令停产停业整顿，并处十万元以上五十万元以下的罚款，对其直接负责的主管人员和其他直接责任人员处二万元以上五万</w:t>
            </w:r>
            <w:r>
              <w:rPr>
                <w:sz w:val="21"/>
              </w:rPr>
              <w:t>元以下的罚款。</w:t>
            </w:r>
          </w:p>
          <w:p>
            <w:pPr>
              <w:pStyle w:val="7"/>
              <w:spacing w:line="268" w:lineRule="exact"/>
              <w:ind w:left="108"/>
              <w:jc w:val="both"/>
              <w:rPr>
                <w:sz w:val="21"/>
              </w:rPr>
            </w:pPr>
            <w:r>
              <w:rPr>
                <w:spacing w:val="-10"/>
                <w:sz w:val="21"/>
              </w:rPr>
              <w:t xml:space="preserve">《条例》第 </w:t>
            </w:r>
            <w:r>
              <w:rPr>
                <w:sz w:val="21"/>
              </w:rPr>
              <w:t>59</w:t>
            </w:r>
            <w:r>
              <w:rPr>
                <w:spacing w:val="-19"/>
                <w:sz w:val="21"/>
              </w:rPr>
              <w:t xml:space="preserve"> 条。</w:t>
            </w:r>
          </w:p>
          <w:p>
            <w:pPr>
              <w:pStyle w:val="7"/>
              <w:spacing w:before="42"/>
              <w:ind w:left="108"/>
              <w:jc w:val="both"/>
              <w:rPr>
                <w:sz w:val="21"/>
              </w:rPr>
            </w:pPr>
            <w:r>
              <w:rPr>
                <w:spacing w:val="-10"/>
                <w:sz w:val="21"/>
              </w:rPr>
              <w:t xml:space="preserve">《办法》第 </w:t>
            </w:r>
            <w:r>
              <w:rPr>
                <w:sz w:val="21"/>
              </w:rPr>
              <w:t>29</w:t>
            </w:r>
            <w:r>
              <w:rPr>
                <w:spacing w:val="-19"/>
                <w:sz w:val="21"/>
              </w:rPr>
              <w:t xml:space="preserve"> 条。</w:t>
            </w:r>
          </w:p>
        </w:tc>
        <w:tc>
          <w:tcPr>
            <w:tcW w:w="774" w:type="dxa"/>
            <w:vMerge w:val="restart"/>
            <w:vAlign w:val="top"/>
          </w:tcPr>
          <w:p>
            <w:pPr>
              <w:pStyle w:val="7"/>
              <w:rPr>
                <w:rFonts w:ascii="Times New Roman"/>
                <w:sz w:val="20"/>
              </w:rPr>
            </w:pPr>
          </w:p>
        </w:tc>
      </w:tr>
      <w:tr>
        <w:trPr>
          <w:trHeight w:val="4671" w:hRule="atLeast"/>
        </w:trPr>
        <w:tc>
          <w:tcPr>
            <w:tcW w:w="657"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30"/>
              <w:ind w:left="96" w:right="90"/>
              <w:jc w:val="center"/>
              <w:rPr>
                <w:sz w:val="21"/>
              </w:rPr>
            </w:pPr>
            <w:r>
              <w:rPr>
                <w:sz w:val="21"/>
              </w:rPr>
              <w:t>27</w:t>
            </w:r>
          </w:p>
        </w:tc>
        <w:tc>
          <w:tcPr>
            <w:tcW w:w="656" w:type="dxa"/>
            <w:vMerge w:val="continue"/>
            <w:tcBorders>
              <w:top w:val="nil"/>
            </w:tcBorders>
            <w:textDirection w:val="tbRl"/>
            <w:vAlign w:val="top"/>
          </w:tcPr>
          <w:p>
            <w:pPr>
              <w:rPr>
                <w:sz w:val="2"/>
                <w:szCs w:val="2"/>
              </w:rPr>
            </w:pPr>
          </w:p>
        </w:tc>
        <w:tc>
          <w:tcPr>
            <w:tcW w:w="711" w:type="dxa"/>
            <w:vMerge w:val="continue"/>
            <w:tcBorders>
              <w:top w:val="nil"/>
            </w:tcBorders>
            <w:vAlign w:val="top"/>
          </w:tcPr>
          <w:p>
            <w:pPr>
              <w:rPr>
                <w:sz w:val="2"/>
                <w:szCs w:val="2"/>
              </w:rPr>
            </w:pPr>
          </w:p>
        </w:tc>
        <w:tc>
          <w:tcPr>
            <w:tcW w:w="2145"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1"/>
              <w:rPr>
                <w:rFonts w:ascii="Times New Roman"/>
                <w:sz w:val="29"/>
              </w:rPr>
            </w:pPr>
          </w:p>
          <w:p>
            <w:pPr>
              <w:pStyle w:val="7"/>
              <w:spacing w:line="278" w:lineRule="auto"/>
              <w:ind w:left="108" w:right="97"/>
              <w:jc w:val="both"/>
              <w:rPr>
                <w:sz w:val="21"/>
              </w:rPr>
            </w:pPr>
            <w:r>
              <w:rPr>
                <w:sz w:val="21"/>
              </w:rPr>
              <w:t>生产经营单位应当定期对本单位的事故隐患进行排查。隐患排查类型、周期、实施主体等应符合《通则》、《导则》的要求和企业实际情况。</w:t>
            </w:r>
          </w:p>
        </w:tc>
        <w:tc>
          <w:tcPr>
            <w:tcW w:w="7306" w:type="dxa"/>
            <w:vMerge w:val="continue"/>
            <w:tcBorders>
              <w:top w:val="nil"/>
            </w:tcBorders>
            <w:vAlign w:val="top"/>
          </w:tcPr>
          <w:p>
            <w:pPr>
              <w:rPr>
                <w:sz w:val="2"/>
                <w:szCs w:val="2"/>
              </w:rPr>
            </w:pPr>
          </w:p>
        </w:tc>
        <w:tc>
          <w:tcPr>
            <w:tcW w:w="2969" w:type="dxa"/>
            <w:vMerge w:val="continue"/>
            <w:tcBorders>
              <w:top w:val="nil"/>
            </w:tcBorders>
            <w:vAlign w:val="top"/>
          </w:tcPr>
          <w:p>
            <w:pPr>
              <w:rPr>
                <w:sz w:val="2"/>
                <w:szCs w:val="2"/>
              </w:rPr>
            </w:pPr>
          </w:p>
        </w:tc>
        <w:tc>
          <w:tcPr>
            <w:tcW w:w="774" w:type="dxa"/>
            <w:vMerge w:val="continue"/>
            <w:tcBorders>
              <w:top w:val="nil"/>
            </w:tcBorders>
            <w:vAlign w:val="top"/>
          </w:tcPr>
          <w:p>
            <w:pPr>
              <w:rPr>
                <w:sz w:val="2"/>
                <w:szCs w:val="2"/>
              </w:rPr>
            </w:pPr>
          </w:p>
        </w:tc>
      </w:tr>
    </w:tbl>
    <w:p>
      <w:pPr>
        <w:spacing w:after="0"/>
        <w:rPr>
          <w:sz w:val="2"/>
          <w:szCs w:val="2"/>
        </w:rPr>
        <w:sectPr>
          <w:pgSz w:w="16840" w:h="11910" w:orient="landscape"/>
          <w:pgMar w:top="1100" w:right="700" w:bottom="1100" w:left="700" w:header="0" w:footer="907"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W w:w="15218"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7"/>
        <w:gridCol w:w="656"/>
        <w:gridCol w:w="711"/>
        <w:gridCol w:w="2145"/>
        <w:gridCol w:w="7306"/>
        <w:gridCol w:w="2969"/>
        <w:gridCol w:w="774"/>
      </w:tblGrid>
      <w:tr>
        <w:trPr>
          <w:trHeight w:val="523" w:hRule="atLeast"/>
        </w:trPr>
        <w:tc>
          <w:tcPr>
            <w:tcW w:w="657" w:type="dxa"/>
            <w:vAlign w:val="top"/>
          </w:tcPr>
          <w:p>
            <w:pPr>
              <w:pStyle w:val="7"/>
              <w:spacing w:before="127"/>
              <w:ind w:left="97" w:right="90"/>
              <w:jc w:val="center"/>
              <w:rPr>
                <w:rFonts w:hint="eastAsia" w:ascii="黑体" w:eastAsia="黑体"/>
                <w:sz w:val="21"/>
              </w:rPr>
            </w:pPr>
            <w:r>
              <w:rPr>
                <w:rFonts w:hint="eastAsia" w:ascii="黑体" w:eastAsia="黑体"/>
                <w:sz w:val="21"/>
              </w:rPr>
              <w:t>序号</w:t>
            </w:r>
          </w:p>
        </w:tc>
        <w:tc>
          <w:tcPr>
            <w:tcW w:w="656" w:type="dxa"/>
            <w:vAlign w:val="top"/>
          </w:tcPr>
          <w:p>
            <w:pPr>
              <w:pStyle w:val="7"/>
              <w:spacing w:before="127"/>
              <w:ind w:left="116"/>
              <w:rPr>
                <w:rFonts w:hint="eastAsia" w:ascii="黑体" w:eastAsia="黑体"/>
                <w:sz w:val="21"/>
              </w:rPr>
            </w:pPr>
            <w:r>
              <w:rPr>
                <w:rFonts w:hint="eastAsia" w:ascii="黑体" w:eastAsia="黑体"/>
                <w:sz w:val="21"/>
              </w:rPr>
              <w:t>类别</w:t>
            </w:r>
          </w:p>
        </w:tc>
        <w:tc>
          <w:tcPr>
            <w:tcW w:w="711" w:type="dxa"/>
            <w:vAlign w:val="top"/>
          </w:tcPr>
          <w:p>
            <w:pPr>
              <w:pStyle w:val="7"/>
              <w:spacing w:before="127"/>
              <w:ind w:left="144"/>
              <w:rPr>
                <w:rFonts w:hint="eastAsia" w:ascii="黑体" w:eastAsia="黑体"/>
                <w:sz w:val="21"/>
              </w:rPr>
            </w:pPr>
            <w:r>
              <w:rPr>
                <w:rFonts w:hint="eastAsia" w:ascii="黑体" w:eastAsia="黑体"/>
                <w:sz w:val="21"/>
              </w:rPr>
              <w:t>项目</w:t>
            </w:r>
          </w:p>
        </w:tc>
        <w:tc>
          <w:tcPr>
            <w:tcW w:w="2145" w:type="dxa"/>
            <w:vAlign w:val="top"/>
          </w:tcPr>
          <w:p>
            <w:pPr>
              <w:pStyle w:val="7"/>
              <w:spacing w:before="127"/>
              <w:ind w:left="650"/>
              <w:rPr>
                <w:rFonts w:hint="eastAsia" w:ascii="黑体" w:eastAsia="黑体"/>
                <w:sz w:val="21"/>
              </w:rPr>
            </w:pPr>
            <w:r>
              <w:rPr>
                <w:rFonts w:hint="eastAsia" w:ascii="黑体" w:eastAsia="黑体"/>
                <w:sz w:val="21"/>
              </w:rPr>
              <w:t>检查内容</w:t>
            </w:r>
          </w:p>
        </w:tc>
        <w:tc>
          <w:tcPr>
            <w:tcW w:w="7306" w:type="dxa"/>
            <w:vAlign w:val="top"/>
          </w:tcPr>
          <w:p>
            <w:pPr>
              <w:pStyle w:val="7"/>
              <w:spacing w:before="127"/>
              <w:ind w:left="3212" w:right="3204"/>
              <w:jc w:val="center"/>
              <w:rPr>
                <w:rFonts w:hint="eastAsia" w:ascii="黑体" w:eastAsia="黑体"/>
                <w:sz w:val="21"/>
              </w:rPr>
            </w:pPr>
            <w:r>
              <w:rPr>
                <w:rFonts w:hint="eastAsia" w:ascii="黑体" w:eastAsia="黑体"/>
                <w:sz w:val="21"/>
              </w:rPr>
              <w:t>检查依据</w:t>
            </w:r>
          </w:p>
        </w:tc>
        <w:tc>
          <w:tcPr>
            <w:tcW w:w="2969" w:type="dxa"/>
            <w:vAlign w:val="top"/>
          </w:tcPr>
          <w:p>
            <w:pPr>
              <w:pStyle w:val="7"/>
              <w:spacing w:before="127"/>
              <w:ind w:left="537"/>
              <w:rPr>
                <w:rFonts w:hint="eastAsia" w:ascii="黑体" w:eastAsia="黑体"/>
                <w:sz w:val="21"/>
              </w:rPr>
            </w:pPr>
            <w:r>
              <w:rPr>
                <w:rFonts w:hint="eastAsia" w:ascii="黑体" w:eastAsia="黑体"/>
                <w:sz w:val="21"/>
              </w:rPr>
              <w:t>处罚依据和整改建议</w:t>
            </w:r>
          </w:p>
        </w:tc>
        <w:tc>
          <w:tcPr>
            <w:tcW w:w="774" w:type="dxa"/>
            <w:vAlign w:val="top"/>
          </w:tcPr>
          <w:p>
            <w:pPr>
              <w:pStyle w:val="7"/>
              <w:spacing w:before="127"/>
              <w:ind w:left="177"/>
              <w:rPr>
                <w:rFonts w:hint="eastAsia" w:ascii="黑体" w:eastAsia="黑体"/>
                <w:sz w:val="21"/>
              </w:rPr>
            </w:pPr>
            <w:r>
              <w:rPr>
                <w:rFonts w:hint="eastAsia" w:ascii="黑体" w:eastAsia="黑体"/>
                <w:sz w:val="21"/>
              </w:rPr>
              <w:t>备注</w:t>
            </w:r>
          </w:p>
        </w:tc>
      </w:tr>
      <w:tr>
        <w:trPr>
          <w:trHeight w:val="3189" w:hRule="atLeast"/>
        </w:trPr>
        <w:tc>
          <w:tcPr>
            <w:tcW w:w="657"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9"/>
              <w:rPr>
                <w:rFonts w:ascii="Times New Roman"/>
                <w:sz w:val="26"/>
              </w:rPr>
            </w:pPr>
          </w:p>
          <w:p>
            <w:pPr>
              <w:pStyle w:val="7"/>
              <w:ind w:left="96" w:right="90"/>
              <w:jc w:val="center"/>
              <w:rPr>
                <w:sz w:val="21"/>
              </w:rPr>
            </w:pPr>
            <w:r>
              <w:rPr>
                <w:sz w:val="21"/>
              </w:rPr>
              <w:t>28</w:t>
            </w:r>
          </w:p>
        </w:tc>
        <w:tc>
          <w:tcPr>
            <w:tcW w:w="656" w:type="dxa"/>
            <w:vMerge w:val="restart"/>
            <w:textDirection w:val="tbRl"/>
            <w:vAlign w:val="top"/>
          </w:tcPr>
          <w:p>
            <w:pPr>
              <w:pStyle w:val="7"/>
              <w:spacing w:before="34"/>
              <w:ind w:left="2020" w:right="2012"/>
              <w:jc w:val="center"/>
              <w:rPr>
                <w:rFonts w:hint="eastAsia" w:ascii="微软雅黑" w:eastAsia="微软雅黑"/>
                <w:b/>
                <w:sz w:val="21"/>
              </w:rPr>
            </w:pPr>
            <w:r>
              <w:rPr>
                <w:rFonts w:hint="eastAsia" w:ascii="微软雅黑" w:eastAsia="微软雅黑"/>
                <w:b/>
                <w:sz w:val="21"/>
              </w:rPr>
              <w:t>责 任 明 确 的 隐 患 排 查 治 理 机 制</w:t>
            </w:r>
          </w:p>
        </w:tc>
        <w:tc>
          <w:tcPr>
            <w:tcW w:w="711" w:type="dxa"/>
            <w:vMerge w:val="restart"/>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7"/>
              <w:rPr>
                <w:rFonts w:ascii="Times New Roman"/>
                <w:sz w:val="29"/>
              </w:rPr>
            </w:pPr>
          </w:p>
          <w:p>
            <w:pPr>
              <w:pStyle w:val="7"/>
              <w:spacing w:line="278" w:lineRule="auto"/>
              <w:ind w:left="108" w:right="172"/>
              <w:jc w:val="both"/>
              <w:rPr>
                <w:sz w:val="21"/>
              </w:rPr>
            </w:pPr>
            <w:r>
              <w:rPr>
                <w:sz w:val="21"/>
              </w:rPr>
              <w:t>隐患排查实施</w:t>
            </w:r>
          </w:p>
        </w:tc>
        <w:tc>
          <w:tcPr>
            <w:tcW w:w="2145"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
              <w:rPr>
                <w:rFonts w:ascii="Times New Roman"/>
                <w:sz w:val="26"/>
              </w:rPr>
            </w:pPr>
          </w:p>
          <w:p>
            <w:pPr>
              <w:pStyle w:val="7"/>
              <w:spacing w:line="278" w:lineRule="auto"/>
              <w:ind w:left="108" w:right="97"/>
              <w:jc w:val="both"/>
              <w:rPr>
                <w:sz w:val="21"/>
              </w:rPr>
            </w:pPr>
            <w:r>
              <w:rPr>
                <w:sz w:val="21"/>
              </w:rPr>
              <w:t>生产经营单位应当采取技术、管理措施， 及时发现并消除事故隐患。</w:t>
            </w:r>
          </w:p>
        </w:tc>
        <w:tc>
          <w:tcPr>
            <w:tcW w:w="7306" w:type="dxa"/>
            <w:vMerge w:val="restart"/>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8"/>
              <w:rPr>
                <w:rFonts w:ascii="Times New Roman"/>
                <w:sz w:val="16"/>
              </w:rPr>
            </w:pPr>
          </w:p>
          <w:p>
            <w:pPr>
              <w:pStyle w:val="7"/>
              <w:ind w:left="108"/>
              <w:rPr>
                <w:sz w:val="21"/>
              </w:rPr>
            </w:pPr>
            <w:r>
              <w:rPr>
                <w:sz w:val="21"/>
              </w:rPr>
              <w:t>同上。</w:t>
            </w:r>
          </w:p>
        </w:tc>
        <w:tc>
          <w:tcPr>
            <w:tcW w:w="2969" w:type="dxa"/>
            <w:vAlign w:val="top"/>
          </w:tcPr>
          <w:p>
            <w:pPr>
              <w:pStyle w:val="7"/>
              <w:rPr>
                <w:rFonts w:ascii="Times New Roman"/>
                <w:sz w:val="20"/>
              </w:rPr>
            </w:pPr>
          </w:p>
          <w:p>
            <w:pPr>
              <w:pStyle w:val="7"/>
              <w:spacing w:before="136" w:line="278" w:lineRule="auto"/>
              <w:ind w:left="108" w:right="95" w:firstLine="208"/>
              <w:jc w:val="both"/>
              <w:rPr>
                <w:sz w:val="21"/>
              </w:rPr>
            </w:pPr>
            <w:r>
              <w:rPr>
                <w:sz w:val="21"/>
              </w:rPr>
              <w:t>《安法》第九十九条：责令立即消除或者限期消除；生产经营单位拒不执行的，责令停产停业整顿，并处十万元以上五十万元以下的罚款，对其直接负责的主管人员和其他直接责任人员处二万元以上五万元以下的罚款。</w:t>
            </w:r>
          </w:p>
        </w:tc>
        <w:tc>
          <w:tcPr>
            <w:tcW w:w="774" w:type="dxa"/>
            <w:vAlign w:val="top"/>
          </w:tcPr>
          <w:p>
            <w:pPr>
              <w:pStyle w:val="7"/>
              <w:rPr>
                <w:rFonts w:ascii="Times New Roman"/>
                <w:sz w:val="20"/>
              </w:rPr>
            </w:pPr>
          </w:p>
        </w:tc>
      </w:tr>
      <w:tr>
        <w:trPr>
          <w:trHeight w:val="1444" w:hRule="atLeast"/>
        </w:trPr>
        <w:tc>
          <w:tcPr>
            <w:tcW w:w="657" w:type="dxa"/>
            <w:vAlign w:val="top"/>
          </w:tcPr>
          <w:p>
            <w:pPr>
              <w:pStyle w:val="7"/>
              <w:rPr>
                <w:rFonts w:ascii="Times New Roman"/>
                <w:sz w:val="20"/>
              </w:rPr>
            </w:pPr>
          </w:p>
          <w:p>
            <w:pPr>
              <w:pStyle w:val="7"/>
              <w:rPr>
                <w:rFonts w:ascii="Times New Roman"/>
                <w:sz w:val="20"/>
              </w:rPr>
            </w:pPr>
          </w:p>
          <w:p>
            <w:pPr>
              <w:pStyle w:val="7"/>
              <w:spacing w:before="127"/>
              <w:ind w:left="96" w:right="90"/>
              <w:jc w:val="center"/>
              <w:rPr>
                <w:sz w:val="21"/>
              </w:rPr>
            </w:pPr>
            <w:r>
              <w:rPr>
                <w:sz w:val="21"/>
              </w:rPr>
              <w:t>29</w:t>
            </w:r>
          </w:p>
        </w:tc>
        <w:tc>
          <w:tcPr>
            <w:tcW w:w="656" w:type="dxa"/>
            <w:vMerge w:val="continue"/>
            <w:tcBorders>
              <w:top w:val="nil"/>
            </w:tcBorders>
            <w:textDirection w:val="tbRl"/>
            <w:vAlign w:val="top"/>
          </w:tcPr>
          <w:p>
            <w:pPr>
              <w:rPr>
                <w:sz w:val="2"/>
                <w:szCs w:val="2"/>
              </w:rPr>
            </w:pPr>
          </w:p>
        </w:tc>
        <w:tc>
          <w:tcPr>
            <w:tcW w:w="711" w:type="dxa"/>
            <w:vMerge w:val="continue"/>
            <w:tcBorders>
              <w:top w:val="nil"/>
            </w:tcBorders>
            <w:vAlign w:val="top"/>
          </w:tcPr>
          <w:p>
            <w:pPr>
              <w:rPr>
                <w:sz w:val="2"/>
                <w:szCs w:val="2"/>
              </w:rPr>
            </w:pPr>
          </w:p>
        </w:tc>
        <w:tc>
          <w:tcPr>
            <w:tcW w:w="2145" w:type="dxa"/>
            <w:vAlign w:val="top"/>
          </w:tcPr>
          <w:p>
            <w:pPr>
              <w:pStyle w:val="7"/>
              <w:spacing w:before="10"/>
              <w:rPr>
                <w:rFonts w:ascii="Times New Roman"/>
                <w:sz w:val="23"/>
              </w:rPr>
            </w:pPr>
          </w:p>
          <w:p>
            <w:pPr>
              <w:pStyle w:val="7"/>
              <w:spacing w:before="1" w:line="278" w:lineRule="auto"/>
              <w:ind w:left="108" w:right="97"/>
              <w:jc w:val="both"/>
              <w:rPr>
                <w:sz w:val="21"/>
              </w:rPr>
            </w:pPr>
            <w:r>
              <w:rPr>
                <w:sz w:val="21"/>
              </w:rPr>
              <w:t>应如实记录并向有关部门报告隐患排查治理情况</w:t>
            </w:r>
          </w:p>
        </w:tc>
        <w:tc>
          <w:tcPr>
            <w:tcW w:w="7306" w:type="dxa"/>
            <w:vMerge w:val="continue"/>
            <w:tcBorders>
              <w:top w:val="nil"/>
            </w:tcBorders>
            <w:vAlign w:val="top"/>
          </w:tcPr>
          <w:p>
            <w:pPr>
              <w:rPr>
                <w:sz w:val="2"/>
                <w:szCs w:val="2"/>
              </w:rPr>
            </w:pPr>
          </w:p>
        </w:tc>
        <w:tc>
          <w:tcPr>
            <w:tcW w:w="2969" w:type="dxa"/>
            <w:vMerge w:val="restart"/>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9"/>
              <w:rPr>
                <w:rFonts w:ascii="Times New Roman"/>
                <w:sz w:val="22"/>
              </w:rPr>
            </w:pPr>
          </w:p>
          <w:p>
            <w:pPr>
              <w:pStyle w:val="7"/>
              <w:spacing w:line="278" w:lineRule="auto"/>
              <w:ind w:left="108" w:right="-15" w:firstLine="208"/>
              <w:rPr>
                <w:sz w:val="21"/>
              </w:rPr>
            </w:pPr>
            <w:r>
              <w:rPr>
                <w:spacing w:val="-10"/>
                <w:sz w:val="21"/>
              </w:rPr>
              <w:t xml:space="preserve">《安法》第九十四条第五项： </w:t>
            </w:r>
            <w:r>
              <w:rPr>
                <w:spacing w:val="-1"/>
                <w:sz w:val="21"/>
              </w:rPr>
              <w:t>责令限期改正，可以处五万元</w:t>
            </w:r>
            <w:r>
              <w:rPr>
                <w:sz w:val="21"/>
              </w:rPr>
              <w:t>以下的罚款；逾期未改正的， 责令停产停业整顿，并处五万元以上十万元以下的罚款，对其直接负责的主管人员和其他直接责任人员处一万元以上二万元以下的罚款。</w:t>
            </w:r>
          </w:p>
        </w:tc>
        <w:tc>
          <w:tcPr>
            <w:tcW w:w="774" w:type="dxa"/>
            <w:vAlign w:val="top"/>
          </w:tcPr>
          <w:p>
            <w:pPr>
              <w:pStyle w:val="7"/>
              <w:rPr>
                <w:rFonts w:ascii="Times New Roman"/>
                <w:sz w:val="20"/>
              </w:rPr>
            </w:pPr>
          </w:p>
        </w:tc>
      </w:tr>
      <w:tr>
        <w:trPr>
          <w:trHeight w:val="2901" w:hRule="atLeast"/>
        </w:trPr>
        <w:tc>
          <w:tcPr>
            <w:tcW w:w="657"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67"/>
              <w:ind w:left="96" w:right="90"/>
              <w:jc w:val="center"/>
              <w:rPr>
                <w:sz w:val="21"/>
              </w:rPr>
            </w:pPr>
            <w:r>
              <w:rPr>
                <w:sz w:val="21"/>
              </w:rPr>
              <w:t>30</w:t>
            </w:r>
          </w:p>
        </w:tc>
        <w:tc>
          <w:tcPr>
            <w:tcW w:w="656" w:type="dxa"/>
            <w:vMerge w:val="continue"/>
            <w:tcBorders>
              <w:top w:val="nil"/>
            </w:tcBorders>
            <w:textDirection w:val="tbRl"/>
            <w:vAlign w:val="top"/>
          </w:tcPr>
          <w:p>
            <w:pPr>
              <w:rPr>
                <w:sz w:val="2"/>
                <w:szCs w:val="2"/>
              </w:rPr>
            </w:pPr>
          </w:p>
        </w:tc>
        <w:tc>
          <w:tcPr>
            <w:tcW w:w="711" w:type="dxa"/>
            <w:vMerge w:val="continue"/>
            <w:tcBorders>
              <w:top w:val="nil"/>
            </w:tcBorders>
            <w:vAlign w:val="top"/>
          </w:tcPr>
          <w:p>
            <w:pPr>
              <w:rPr>
                <w:sz w:val="2"/>
                <w:szCs w:val="2"/>
              </w:rPr>
            </w:pPr>
          </w:p>
        </w:tc>
        <w:tc>
          <w:tcPr>
            <w:tcW w:w="2145"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1"/>
              <w:rPr>
                <w:rFonts w:ascii="Times New Roman"/>
                <w:sz w:val="20"/>
              </w:rPr>
            </w:pPr>
          </w:p>
          <w:p>
            <w:pPr>
              <w:pStyle w:val="7"/>
              <w:spacing w:line="278" w:lineRule="auto"/>
              <w:ind w:left="108" w:right="97"/>
              <w:rPr>
                <w:sz w:val="21"/>
              </w:rPr>
            </w:pPr>
            <w:r>
              <w:rPr>
                <w:sz w:val="21"/>
              </w:rPr>
              <w:t>应向从业人员通报隐患排查治理情况</w:t>
            </w:r>
          </w:p>
        </w:tc>
        <w:tc>
          <w:tcPr>
            <w:tcW w:w="7306" w:type="dxa"/>
            <w:vMerge w:val="continue"/>
            <w:tcBorders>
              <w:top w:val="nil"/>
            </w:tcBorders>
            <w:vAlign w:val="top"/>
          </w:tcPr>
          <w:p>
            <w:pPr>
              <w:rPr>
                <w:sz w:val="2"/>
                <w:szCs w:val="2"/>
              </w:rPr>
            </w:pPr>
          </w:p>
        </w:tc>
        <w:tc>
          <w:tcPr>
            <w:tcW w:w="2969" w:type="dxa"/>
            <w:vMerge w:val="continue"/>
            <w:tcBorders>
              <w:top w:val="nil"/>
            </w:tcBorders>
            <w:vAlign w:val="top"/>
          </w:tcPr>
          <w:p>
            <w:pPr>
              <w:rPr>
                <w:sz w:val="2"/>
                <w:szCs w:val="2"/>
              </w:rPr>
            </w:pPr>
          </w:p>
        </w:tc>
        <w:tc>
          <w:tcPr>
            <w:tcW w:w="774" w:type="dxa"/>
            <w:vAlign w:val="top"/>
          </w:tcPr>
          <w:p>
            <w:pPr>
              <w:pStyle w:val="7"/>
              <w:rPr>
                <w:rFonts w:ascii="Times New Roman"/>
                <w:sz w:val="20"/>
              </w:rPr>
            </w:pPr>
          </w:p>
        </w:tc>
      </w:tr>
    </w:tbl>
    <w:p>
      <w:pPr>
        <w:spacing w:after="0"/>
        <w:rPr>
          <w:rFonts w:ascii="Times New Roman"/>
          <w:sz w:val="20"/>
        </w:rPr>
        <w:sectPr>
          <w:pgSz w:w="16840" w:h="11910" w:orient="landscape"/>
          <w:pgMar w:top="1100" w:right="700" w:bottom="1100" w:left="700" w:header="0" w:footer="907"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W w:w="15218"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7"/>
        <w:gridCol w:w="656"/>
        <w:gridCol w:w="711"/>
        <w:gridCol w:w="2145"/>
        <w:gridCol w:w="7306"/>
        <w:gridCol w:w="2969"/>
        <w:gridCol w:w="774"/>
      </w:tblGrid>
      <w:tr>
        <w:trPr>
          <w:trHeight w:val="523" w:hRule="atLeast"/>
        </w:trPr>
        <w:tc>
          <w:tcPr>
            <w:tcW w:w="657" w:type="dxa"/>
            <w:vAlign w:val="top"/>
          </w:tcPr>
          <w:p>
            <w:pPr>
              <w:pStyle w:val="7"/>
              <w:spacing w:before="127"/>
              <w:ind w:left="97" w:right="90"/>
              <w:jc w:val="center"/>
              <w:rPr>
                <w:rFonts w:hint="eastAsia" w:ascii="黑体" w:eastAsia="黑体"/>
                <w:sz w:val="21"/>
              </w:rPr>
            </w:pPr>
            <w:r>
              <w:rPr>
                <w:rFonts w:hint="eastAsia" w:ascii="黑体" w:eastAsia="黑体"/>
                <w:sz w:val="21"/>
              </w:rPr>
              <w:t>序号</w:t>
            </w:r>
          </w:p>
        </w:tc>
        <w:tc>
          <w:tcPr>
            <w:tcW w:w="656" w:type="dxa"/>
            <w:vAlign w:val="top"/>
          </w:tcPr>
          <w:p>
            <w:pPr>
              <w:pStyle w:val="7"/>
              <w:spacing w:before="127"/>
              <w:ind w:left="116"/>
              <w:rPr>
                <w:rFonts w:hint="eastAsia" w:ascii="黑体" w:eastAsia="黑体"/>
                <w:sz w:val="21"/>
              </w:rPr>
            </w:pPr>
            <w:r>
              <w:rPr>
                <w:rFonts w:hint="eastAsia" w:ascii="黑体" w:eastAsia="黑体"/>
                <w:sz w:val="21"/>
              </w:rPr>
              <w:t>类别</w:t>
            </w:r>
          </w:p>
        </w:tc>
        <w:tc>
          <w:tcPr>
            <w:tcW w:w="711" w:type="dxa"/>
            <w:vAlign w:val="top"/>
          </w:tcPr>
          <w:p>
            <w:pPr>
              <w:pStyle w:val="7"/>
              <w:spacing w:before="127"/>
              <w:ind w:left="144"/>
              <w:rPr>
                <w:rFonts w:hint="eastAsia" w:ascii="黑体" w:eastAsia="黑体"/>
                <w:sz w:val="21"/>
              </w:rPr>
            </w:pPr>
            <w:r>
              <w:rPr>
                <w:rFonts w:hint="eastAsia" w:ascii="黑体" w:eastAsia="黑体"/>
                <w:sz w:val="21"/>
              </w:rPr>
              <w:t>项目</w:t>
            </w:r>
          </w:p>
        </w:tc>
        <w:tc>
          <w:tcPr>
            <w:tcW w:w="2145" w:type="dxa"/>
            <w:vAlign w:val="top"/>
          </w:tcPr>
          <w:p>
            <w:pPr>
              <w:pStyle w:val="7"/>
              <w:spacing w:before="127"/>
              <w:ind w:left="650"/>
              <w:rPr>
                <w:rFonts w:hint="eastAsia" w:ascii="黑体" w:eastAsia="黑体"/>
                <w:sz w:val="21"/>
              </w:rPr>
            </w:pPr>
            <w:r>
              <w:rPr>
                <w:rFonts w:hint="eastAsia" w:ascii="黑体" w:eastAsia="黑体"/>
                <w:sz w:val="21"/>
              </w:rPr>
              <w:t>检查内容</w:t>
            </w:r>
          </w:p>
        </w:tc>
        <w:tc>
          <w:tcPr>
            <w:tcW w:w="7306" w:type="dxa"/>
            <w:vAlign w:val="top"/>
          </w:tcPr>
          <w:p>
            <w:pPr>
              <w:pStyle w:val="7"/>
              <w:spacing w:before="127"/>
              <w:ind w:left="3212" w:right="3204"/>
              <w:jc w:val="center"/>
              <w:rPr>
                <w:rFonts w:hint="eastAsia" w:ascii="黑体" w:eastAsia="黑体"/>
                <w:sz w:val="21"/>
              </w:rPr>
            </w:pPr>
            <w:r>
              <w:rPr>
                <w:rFonts w:hint="eastAsia" w:ascii="黑体" w:eastAsia="黑体"/>
                <w:sz w:val="21"/>
              </w:rPr>
              <w:t>检查依据</w:t>
            </w:r>
          </w:p>
        </w:tc>
        <w:tc>
          <w:tcPr>
            <w:tcW w:w="2969" w:type="dxa"/>
            <w:vAlign w:val="top"/>
          </w:tcPr>
          <w:p>
            <w:pPr>
              <w:pStyle w:val="7"/>
              <w:spacing w:before="127"/>
              <w:ind w:left="537"/>
              <w:rPr>
                <w:rFonts w:hint="eastAsia" w:ascii="黑体" w:eastAsia="黑体"/>
                <w:sz w:val="21"/>
              </w:rPr>
            </w:pPr>
            <w:r>
              <w:rPr>
                <w:rFonts w:hint="eastAsia" w:ascii="黑体" w:eastAsia="黑体"/>
                <w:sz w:val="21"/>
              </w:rPr>
              <w:t>处罚依据和整改建议</w:t>
            </w:r>
          </w:p>
        </w:tc>
        <w:tc>
          <w:tcPr>
            <w:tcW w:w="774" w:type="dxa"/>
            <w:vAlign w:val="top"/>
          </w:tcPr>
          <w:p>
            <w:pPr>
              <w:pStyle w:val="7"/>
              <w:spacing w:before="127"/>
              <w:ind w:left="177"/>
              <w:rPr>
                <w:rFonts w:hint="eastAsia" w:ascii="黑体" w:eastAsia="黑体"/>
                <w:sz w:val="21"/>
              </w:rPr>
            </w:pPr>
            <w:r>
              <w:rPr>
                <w:rFonts w:hint="eastAsia" w:ascii="黑体" w:eastAsia="黑体"/>
                <w:sz w:val="21"/>
              </w:rPr>
              <w:t>备注</w:t>
            </w:r>
          </w:p>
        </w:tc>
      </w:tr>
      <w:tr>
        <w:trPr>
          <w:trHeight w:val="1523" w:hRule="atLeast"/>
        </w:trPr>
        <w:tc>
          <w:tcPr>
            <w:tcW w:w="657" w:type="dxa"/>
            <w:tcBorders>
              <w:bottom w:val="nil"/>
            </w:tcBorders>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5"/>
              <w:rPr>
                <w:rFonts w:ascii="Times New Roman"/>
                <w:sz w:val="20"/>
              </w:rPr>
            </w:pPr>
          </w:p>
          <w:p>
            <w:pPr>
              <w:pStyle w:val="7"/>
              <w:ind w:left="96" w:right="90"/>
              <w:jc w:val="center"/>
              <w:rPr>
                <w:sz w:val="21"/>
              </w:rPr>
            </w:pPr>
            <w:r>
              <w:rPr>
                <w:sz w:val="21"/>
              </w:rPr>
              <w:t>31</w:t>
            </w:r>
          </w:p>
        </w:tc>
        <w:tc>
          <w:tcPr>
            <w:tcW w:w="656" w:type="dxa"/>
            <w:vMerge w:val="restart"/>
            <w:textDirection w:val="tbRl"/>
            <w:vAlign w:val="top"/>
          </w:tcPr>
          <w:p>
            <w:pPr>
              <w:pStyle w:val="7"/>
              <w:spacing w:before="34"/>
              <w:ind w:left="1953" w:right="1944"/>
              <w:jc w:val="center"/>
              <w:rPr>
                <w:rFonts w:hint="eastAsia" w:ascii="微软雅黑" w:eastAsia="微软雅黑"/>
                <w:b/>
                <w:sz w:val="21"/>
              </w:rPr>
            </w:pPr>
            <w:r>
              <w:rPr>
                <w:rFonts w:hint="eastAsia" w:ascii="微软雅黑" w:eastAsia="微软雅黑"/>
                <w:b/>
                <w:sz w:val="21"/>
              </w:rPr>
              <w:t>责 任 明 确 的 隐 患 排 查 治 理 机 制</w:t>
            </w:r>
          </w:p>
        </w:tc>
        <w:tc>
          <w:tcPr>
            <w:tcW w:w="711" w:type="dxa"/>
            <w:tcBorders>
              <w:bottom w:val="nil"/>
            </w:tcBorders>
            <w:vAlign w:val="top"/>
          </w:tcPr>
          <w:p>
            <w:pPr>
              <w:pStyle w:val="7"/>
              <w:rPr>
                <w:rFonts w:ascii="Times New Roman"/>
                <w:sz w:val="20"/>
              </w:rPr>
            </w:pPr>
          </w:p>
        </w:tc>
        <w:tc>
          <w:tcPr>
            <w:tcW w:w="2145" w:type="dxa"/>
            <w:tcBorders>
              <w:bottom w:val="nil"/>
            </w:tcBorders>
            <w:vAlign w:val="top"/>
          </w:tcPr>
          <w:p>
            <w:pPr>
              <w:pStyle w:val="7"/>
              <w:rPr>
                <w:rFonts w:ascii="Times New Roman"/>
                <w:sz w:val="20"/>
              </w:rPr>
            </w:pPr>
          </w:p>
          <w:p>
            <w:pPr>
              <w:pStyle w:val="7"/>
              <w:rPr>
                <w:rFonts w:ascii="Times New Roman"/>
                <w:sz w:val="20"/>
              </w:rPr>
            </w:pPr>
          </w:p>
          <w:p>
            <w:pPr>
              <w:pStyle w:val="7"/>
              <w:spacing w:before="10"/>
              <w:rPr>
                <w:rFonts w:ascii="Times New Roman"/>
                <w:sz w:val="26"/>
              </w:rPr>
            </w:pPr>
          </w:p>
          <w:p>
            <w:pPr>
              <w:pStyle w:val="7"/>
              <w:spacing w:line="278" w:lineRule="auto"/>
              <w:ind w:left="108" w:right="97"/>
              <w:rPr>
                <w:sz w:val="21"/>
              </w:rPr>
            </w:pPr>
            <w:r>
              <w:rPr>
                <w:sz w:val="21"/>
              </w:rPr>
              <w:t>隐患整改前应制定可靠的安全措施</w:t>
            </w:r>
          </w:p>
        </w:tc>
        <w:tc>
          <w:tcPr>
            <w:tcW w:w="7306" w:type="dxa"/>
            <w:tcBorders>
              <w:bottom w:val="nil"/>
            </w:tcBorders>
            <w:vAlign w:val="top"/>
          </w:tcPr>
          <w:p>
            <w:pPr>
              <w:pStyle w:val="7"/>
              <w:rPr>
                <w:rFonts w:ascii="Times New Roman"/>
                <w:sz w:val="20"/>
              </w:rPr>
            </w:pPr>
          </w:p>
        </w:tc>
        <w:tc>
          <w:tcPr>
            <w:tcW w:w="2969" w:type="dxa"/>
            <w:vMerge w:val="restart"/>
            <w:vAlign w:val="top"/>
          </w:tcPr>
          <w:p>
            <w:pPr>
              <w:pStyle w:val="7"/>
              <w:rPr>
                <w:rFonts w:ascii="Times New Roman"/>
                <w:sz w:val="20"/>
              </w:rPr>
            </w:pPr>
          </w:p>
          <w:p>
            <w:pPr>
              <w:pStyle w:val="7"/>
              <w:spacing w:before="9"/>
              <w:rPr>
                <w:rFonts w:ascii="Times New Roman"/>
                <w:sz w:val="19"/>
              </w:rPr>
            </w:pPr>
          </w:p>
          <w:p>
            <w:pPr>
              <w:pStyle w:val="7"/>
              <w:spacing w:line="278" w:lineRule="auto"/>
              <w:ind w:left="108" w:right="95" w:firstLine="420"/>
              <w:jc w:val="both"/>
              <w:rPr>
                <w:sz w:val="21"/>
              </w:rPr>
            </w:pPr>
            <w:r>
              <w:rPr>
                <w:spacing w:val="-9"/>
                <w:sz w:val="21"/>
              </w:rPr>
              <w:t xml:space="preserve">《安法》第 </w:t>
            </w:r>
            <w:r>
              <w:rPr>
                <w:sz w:val="21"/>
              </w:rPr>
              <w:t>99</w:t>
            </w:r>
            <w:r>
              <w:rPr>
                <w:spacing w:val="-10"/>
                <w:sz w:val="21"/>
              </w:rPr>
              <w:t xml:space="preserve"> 条 责令立</w:t>
            </w:r>
            <w:r>
              <w:rPr>
                <w:spacing w:val="-1"/>
                <w:sz w:val="21"/>
              </w:rPr>
              <w:t>即消除或者限期消除；生产经营单位拒不执行的，责令停产停业整顿，并处十万元以上五十万元以下的罚款，对其直接负责的主管人员和其他直接责任人员处二万元以上五万元以</w:t>
            </w:r>
            <w:r>
              <w:rPr>
                <w:sz w:val="21"/>
              </w:rPr>
              <w:t>下的罚款。</w:t>
            </w:r>
          </w:p>
          <w:p>
            <w:pPr>
              <w:pStyle w:val="7"/>
              <w:spacing w:line="278" w:lineRule="auto"/>
              <w:ind w:left="108" w:right="95" w:firstLine="420"/>
              <w:jc w:val="both"/>
              <w:rPr>
                <w:sz w:val="21"/>
              </w:rPr>
            </w:pPr>
            <w:r>
              <w:rPr>
                <w:spacing w:val="-9"/>
                <w:sz w:val="21"/>
              </w:rPr>
              <w:t xml:space="preserve">《条例》第 </w:t>
            </w:r>
            <w:r>
              <w:rPr>
                <w:sz w:val="21"/>
              </w:rPr>
              <w:t>59</w:t>
            </w:r>
            <w:r>
              <w:rPr>
                <w:spacing w:val="-10"/>
                <w:sz w:val="21"/>
              </w:rPr>
              <w:t xml:space="preserve"> 条 未按照</w:t>
            </w:r>
            <w:r>
              <w:rPr>
                <w:spacing w:val="-1"/>
                <w:sz w:val="21"/>
              </w:rPr>
              <w:t>安全生产事故隐患排查治理制度组织事故隐患排查的，责令限期改正；逾期未改正的，责令停产停业整顿，并处五万元以上十万元以下的罚款，对其直接负责的主管人员和其他直接责任人员处一万元以上五万</w:t>
            </w:r>
            <w:r>
              <w:rPr>
                <w:sz w:val="21"/>
              </w:rPr>
              <w:t>元以下的罚款。</w:t>
            </w:r>
          </w:p>
          <w:p>
            <w:pPr>
              <w:pStyle w:val="7"/>
              <w:spacing w:line="278" w:lineRule="auto"/>
              <w:ind w:left="108" w:right="95" w:firstLine="420"/>
              <w:jc w:val="both"/>
              <w:rPr>
                <w:sz w:val="21"/>
              </w:rPr>
            </w:pPr>
            <w:r>
              <w:rPr>
                <w:sz w:val="21"/>
              </w:rPr>
              <w:t>《安全生产事故隐患排查治理暂行规定》第 26 条第五项：给予警告，并处三万元以下的罚款。</w:t>
            </w:r>
          </w:p>
        </w:tc>
        <w:tc>
          <w:tcPr>
            <w:tcW w:w="774" w:type="dxa"/>
            <w:vMerge w:val="restart"/>
            <w:vAlign w:val="top"/>
          </w:tcPr>
          <w:p>
            <w:pPr>
              <w:pStyle w:val="7"/>
              <w:rPr>
                <w:rFonts w:ascii="Times New Roman"/>
                <w:sz w:val="20"/>
              </w:rPr>
            </w:pPr>
          </w:p>
        </w:tc>
      </w:tr>
      <w:tr>
        <w:trPr>
          <w:trHeight w:val="457" w:hRule="atLeast"/>
        </w:trPr>
        <w:tc>
          <w:tcPr>
            <w:tcW w:w="657" w:type="dxa"/>
            <w:tcBorders>
              <w:top w:val="nil"/>
              <w:bottom w:val="nil"/>
            </w:tcBorders>
            <w:vAlign w:val="top"/>
          </w:tcPr>
          <w:p>
            <w:pPr>
              <w:pStyle w:val="7"/>
              <w:rPr>
                <w:rFonts w:ascii="Times New Roman"/>
                <w:sz w:val="20"/>
              </w:rPr>
            </w:pPr>
          </w:p>
        </w:tc>
        <w:tc>
          <w:tcPr>
            <w:tcW w:w="656" w:type="dxa"/>
            <w:vMerge w:val="continue"/>
            <w:tcBorders>
              <w:top w:val="nil"/>
            </w:tcBorders>
            <w:textDirection w:val="tbRl"/>
            <w:vAlign w:val="top"/>
          </w:tcPr>
          <w:p>
            <w:pPr>
              <w:rPr>
                <w:sz w:val="2"/>
                <w:szCs w:val="2"/>
              </w:rPr>
            </w:pPr>
          </w:p>
        </w:tc>
        <w:tc>
          <w:tcPr>
            <w:tcW w:w="711" w:type="dxa"/>
            <w:tcBorders>
              <w:top w:val="nil"/>
              <w:bottom w:val="nil"/>
            </w:tcBorders>
            <w:vAlign w:val="top"/>
          </w:tcPr>
          <w:p>
            <w:pPr>
              <w:pStyle w:val="7"/>
              <w:rPr>
                <w:rFonts w:ascii="Times New Roman"/>
                <w:sz w:val="20"/>
              </w:rPr>
            </w:pPr>
          </w:p>
        </w:tc>
        <w:tc>
          <w:tcPr>
            <w:tcW w:w="2145" w:type="dxa"/>
            <w:tcBorders>
              <w:top w:val="nil"/>
              <w:bottom w:val="nil"/>
            </w:tcBorders>
            <w:vAlign w:val="top"/>
          </w:tcPr>
          <w:p>
            <w:pPr>
              <w:pStyle w:val="7"/>
              <w:rPr>
                <w:rFonts w:ascii="Times New Roman"/>
                <w:sz w:val="20"/>
              </w:rPr>
            </w:pPr>
          </w:p>
        </w:tc>
        <w:tc>
          <w:tcPr>
            <w:tcW w:w="7306" w:type="dxa"/>
            <w:tcBorders>
              <w:top w:val="nil"/>
              <w:bottom w:val="nil"/>
            </w:tcBorders>
            <w:vAlign w:val="top"/>
          </w:tcPr>
          <w:p>
            <w:pPr>
              <w:pStyle w:val="7"/>
              <w:spacing w:before="172" w:line="266" w:lineRule="exact"/>
              <w:ind w:right="98"/>
              <w:jc w:val="right"/>
              <w:rPr>
                <w:sz w:val="21"/>
              </w:rPr>
            </w:pPr>
            <w:r>
              <w:rPr>
                <w:sz w:val="21"/>
              </w:rPr>
              <w:t>《条例》第 24 条第二款：对于一般事故隐患，应当立即组织整改治理；对</w:t>
            </w:r>
          </w:p>
        </w:tc>
        <w:tc>
          <w:tcPr>
            <w:tcW w:w="2969" w:type="dxa"/>
            <w:vMerge w:val="continue"/>
            <w:tcBorders>
              <w:top w:val="nil"/>
            </w:tcBorders>
            <w:vAlign w:val="top"/>
          </w:tcPr>
          <w:p>
            <w:pPr>
              <w:rPr>
                <w:sz w:val="2"/>
                <w:szCs w:val="2"/>
              </w:rPr>
            </w:pPr>
          </w:p>
        </w:tc>
        <w:tc>
          <w:tcPr>
            <w:tcW w:w="774" w:type="dxa"/>
            <w:vMerge w:val="continue"/>
            <w:tcBorders>
              <w:top w:val="nil"/>
            </w:tcBorders>
            <w:vAlign w:val="top"/>
          </w:tcPr>
          <w:p>
            <w:pPr>
              <w:rPr>
                <w:sz w:val="2"/>
                <w:szCs w:val="2"/>
              </w:rPr>
            </w:pPr>
          </w:p>
        </w:tc>
      </w:tr>
      <w:tr>
        <w:trPr>
          <w:trHeight w:val="119" w:hRule="atLeast"/>
        </w:trPr>
        <w:tc>
          <w:tcPr>
            <w:tcW w:w="657" w:type="dxa"/>
            <w:tcBorders>
              <w:top w:val="nil"/>
            </w:tcBorders>
            <w:vAlign w:val="top"/>
          </w:tcPr>
          <w:p>
            <w:pPr>
              <w:pStyle w:val="7"/>
              <w:rPr>
                <w:rFonts w:ascii="Times New Roman"/>
                <w:sz w:val="6"/>
              </w:rPr>
            </w:pPr>
          </w:p>
        </w:tc>
        <w:tc>
          <w:tcPr>
            <w:tcW w:w="656" w:type="dxa"/>
            <w:vMerge w:val="continue"/>
            <w:tcBorders>
              <w:top w:val="nil"/>
            </w:tcBorders>
            <w:textDirection w:val="tbRl"/>
            <w:vAlign w:val="top"/>
          </w:tcPr>
          <w:p>
            <w:pPr>
              <w:rPr>
                <w:sz w:val="2"/>
                <w:szCs w:val="2"/>
              </w:rPr>
            </w:pPr>
          </w:p>
        </w:tc>
        <w:tc>
          <w:tcPr>
            <w:tcW w:w="711" w:type="dxa"/>
            <w:vMerge w:val="restart"/>
            <w:tcBorders>
              <w:top w:val="nil"/>
              <w:bottom w:val="nil"/>
            </w:tcBorders>
            <w:vAlign w:val="top"/>
          </w:tcPr>
          <w:p>
            <w:pPr>
              <w:pStyle w:val="7"/>
              <w:rPr>
                <w:rFonts w:ascii="Times New Roman"/>
                <w:sz w:val="20"/>
              </w:rPr>
            </w:pPr>
          </w:p>
        </w:tc>
        <w:tc>
          <w:tcPr>
            <w:tcW w:w="2145" w:type="dxa"/>
            <w:tcBorders>
              <w:top w:val="nil"/>
            </w:tcBorders>
            <w:vAlign w:val="top"/>
          </w:tcPr>
          <w:p>
            <w:pPr>
              <w:pStyle w:val="7"/>
              <w:rPr>
                <w:rFonts w:ascii="Times New Roman"/>
                <w:sz w:val="6"/>
              </w:rPr>
            </w:pPr>
          </w:p>
        </w:tc>
        <w:tc>
          <w:tcPr>
            <w:tcW w:w="7306" w:type="dxa"/>
            <w:vMerge w:val="restart"/>
            <w:tcBorders>
              <w:top w:val="nil"/>
              <w:bottom w:val="nil"/>
            </w:tcBorders>
            <w:vAlign w:val="top"/>
          </w:tcPr>
          <w:p>
            <w:pPr>
              <w:pStyle w:val="7"/>
              <w:spacing w:before="16" w:line="266" w:lineRule="exact"/>
              <w:ind w:left="108"/>
              <w:rPr>
                <w:sz w:val="21"/>
              </w:rPr>
            </w:pPr>
            <w:r>
              <w:rPr>
                <w:sz w:val="21"/>
              </w:rPr>
              <w:t>于重大事故隐患，应当及时制定治理方案并向县级以上人民政府负有安全生产</w:t>
            </w:r>
          </w:p>
        </w:tc>
        <w:tc>
          <w:tcPr>
            <w:tcW w:w="2969" w:type="dxa"/>
            <w:vMerge w:val="continue"/>
            <w:tcBorders>
              <w:top w:val="nil"/>
            </w:tcBorders>
            <w:vAlign w:val="top"/>
          </w:tcPr>
          <w:p>
            <w:pPr>
              <w:rPr>
                <w:sz w:val="2"/>
                <w:szCs w:val="2"/>
              </w:rPr>
            </w:pPr>
          </w:p>
        </w:tc>
        <w:tc>
          <w:tcPr>
            <w:tcW w:w="774" w:type="dxa"/>
            <w:vMerge w:val="continue"/>
            <w:tcBorders>
              <w:top w:val="nil"/>
            </w:tcBorders>
            <w:vAlign w:val="top"/>
          </w:tcPr>
          <w:p>
            <w:pPr>
              <w:rPr>
                <w:sz w:val="2"/>
                <w:szCs w:val="2"/>
              </w:rPr>
            </w:pPr>
          </w:p>
        </w:tc>
      </w:tr>
      <w:tr>
        <w:trPr>
          <w:trHeight w:val="172" w:hRule="atLeast"/>
        </w:trPr>
        <w:tc>
          <w:tcPr>
            <w:tcW w:w="657" w:type="dxa"/>
            <w:tcBorders>
              <w:bottom w:val="nil"/>
            </w:tcBorders>
            <w:vAlign w:val="top"/>
          </w:tcPr>
          <w:p>
            <w:pPr>
              <w:pStyle w:val="7"/>
              <w:rPr>
                <w:rFonts w:ascii="Times New Roman"/>
                <w:sz w:val="10"/>
              </w:rPr>
            </w:pPr>
          </w:p>
        </w:tc>
        <w:tc>
          <w:tcPr>
            <w:tcW w:w="656" w:type="dxa"/>
            <w:vMerge w:val="continue"/>
            <w:tcBorders>
              <w:top w:val="nil"/>
            </w:tcBorders>
            <w:textDirection w:val="tbRl"/>
            <w:vAlign w:val="top"/>
          </w:tcPr>
          <w:p>
            <w:pPr>
              <w:rPr>
                <w:sz w:val="2"/>
                <w:szCs w:val="2"/>
              </w:rPr>
            </w:pPr>
          </w:p>
        </w:tc>
        <w:tc>
          <w:tcPr>
            <w:tcW w:w="711" w:type="dxa"/>
            <w:vMerge w:val="continue"/>
            <w:tcBorders>
              <w:top w:val="nil"/>
              <w:bottom w:val="nil"/>
            </w:tcBorders>
            <w:vAlign w:val="top"/>
          </w:tcPr>
          <w:p>
            <w:pPr>
              <w:rPr>
                <w:sz w:val="2"/>
                <w:szCs w:val="2"/>
              </w:rPr>
            </w:pPr>
          </w:p>
        </w:tc>
        <w:tc>
          <w:tcPr>
            <w:tcW w:w="2145" w:type="dxa"/>
            <w:tcBorders>
              <w:bottom w:val="nil"/>
            </w:tcBorders>
            <w:vAlign w:val="top"/>
          </w:tcPr>
          <w:p>
            <w:pPr>
              <w:pStyle w:val="7"/>
              <w:rPr>
                <w:rFonts w:ascii="Times New Roman"/>
                <w:sz w:val="10"/>
              </w:rPr>
            </w:pPr>
          </w:p>
        </w:tc>
        <w:tc>
          <w:tcPr>
            <w:tcW w:w="7306" w:type="dxa"/>
            <w:vMerge w:val="continue"/>
            <w:tcBorders>
              <w:top w:val="nil"/>
              <w:bottom w:val="nil"/>
            </w:tcBorders>
            <w:vAlign w:val="top"/>
          </w:tcPr>
          <w:p>
            <w:pPr>
              <w:rPr>
                <w:sz w:val="2"/>
                <w:szCs w:val="2"/>
              </w:rPr>
            </w:pPr>
          </w:p>
        </w:tc>
        <w:tc>
          <w:tcPr>
            <w:tcW w:w="2969" w:type="dxa"/>
            <w:vMerge w:val="continue"/>
            <w:tcBorders>
              <w:top w:val="nil"/>
            </w:tcBorders>
            <w:vAlign w:val="top"/>
          </w:tcPr>
          <w:p>
            <w:pPr>
              <w:rPr>
                <w:sz w:val="2"/>
                <w:szCs w:val="2"/>
              </w:rPr>
            </w:pPr>
          </w:p>
        </w:tc>
        <w:tc>
          <w:tcPr>
            <w:tcW w:w="774" w:type="dxa"/>
            <w:vMerge w:val="continue"/>
            <w:tcBorders>
              <w:top w:val="nil"/>
            </w:tcBorders>
            <w:vAlign w:val="top"/>
          </w:tcPr>
          <w:p>
            <w:pPr>
              <w:rPr>
                <w:sz w:val="2"/>
                <w:szCs w:val="2"/>
              </w:rPr>
            </w:pPr>
          </w:p>
        </w:tc>
      </w:tr>
      <w:tr>
        <w:trPr>
          <w:trHeight w:val="302" w:hRule="atLeast"/>
        </w:trPr>
        <w:tc>
          <w:tcPr>
            <w:tcW w:w="657" w:type="dxa"/>
            <w:tcBorders>
              <w:top w:val="nil"/>
              <w:bottom w:val="nil"/>
            </w:tcBorders>
            <w:vAlign w:val="top"/>
          </w:tcPr>
          <w:p>
            <w:pPr>
              <w:pStyle w:val="7"/>
              <w:rPr>
                <w:rFonts w:ascii="Times New Roman"/>
                <w:sz w:val="20"/>
              </w:rPr>
            </w:pPr>
          </w:p>
        </w:tc>
        <w:tc>
          <w:tcPr>
            <w:tcW w:w="656" w:type="dxa"/>
            <w:vMerge w:val="continue"/>
            <w:tcBorders>
              <w:top w:val="nil"/>
            </w:tcBorders>
            <w:textDirection w:val="tbRl"/>
            <w:vAlign w:val="top"/>
          </w:tcPr>
          <w:p>
            <w:pPr>
              <w:rPr>
                <w:sz w:val="2"/>
                <w:szCs w:val="2"/>
              </w:rPr>
            </w:pPr>
          </w:p>
        </w:tc>
        <w:tc>
          <w:tcPr>
            <w:tcW w:w="711" w:type="dxa"/>
            <w:tcBorders>
              <w:top w:val="nil"/>
              <w:bottom w:val="nil"/>
            </w:tcBorders>
            <w:vAlign w:val="top"/>
          </w:tcPr>
          <w:p>
            <w:pPr>
              <w:pStyle w:val="7"/>
              <w:rPr>
                <w:rFonts w:ascii="Times New Roman"/>
                <w:sz w:val="20"/>
              </w:rPr>
            </w:pPr>
          </w:p>
        </w:tc>
        <w:tc>
          <w:tcPr>
            <w:tcW w:w="2145" w:type="dxa"/>
            <w:tcBorders>
              <w:top w:val="nil"/>
              <w:bottom w:val="nil"/>
            </w:tcBorders>
            <w:vAlign w:val="top"/>
          </w:tcPr>
          <w:p>
            <w:pPr>
              <w:pStyle w:val="7"/>
              <w:rPr>
                <w:rFonts w:ascii="Times New Roman"/>
                <w:sz w:val="20"/>
              </w:rPr>
            </w:pPr>
          </w:p>
        </w:tc>
        <w:tc>
          <w:tcPr>
            <w:tcW w:w="7306" w:type="dxa"/>
            <w:tcBorders>
              <w:top w:val="nil"/>
              <w:bottom w:val="nil"/>
            </w:tcBorders>
            <w:vAlign w:val="top"/>
          </w:tcPr>
          <w:p>
            <w:pPr>
              <w:pStyle w:val="7"/>
              <w:spacing w:before="16" w:line="266" w:lineRule="exact"/>
              <w:ind w:left="108"/>
              <w:rPr>
                <w:sz w:val="21"/>
              </w:rPr>
            </w:pPr>
            <w:r>
              <w:rPr>
                <w:sz w:val="21"/>
              </w:rPr>
              <w:t>监督管理职责的部门报告，根据治理方案采取相应措施予以消除，治理完毕后</w:t>
            </w:r>
          </w:p>
        </w:tc>
        <w:tc>
          <w:tcPr>
            <w:tcW w:w="2969" w:type="dxa"/>
            <w:vMerge w:val="continue"/>
            <w:tcBorders>
              <w:top w:val="nil"/>
            </w:tcBorders>
            <w:vAlign w:val="top"/>
          </w:tcPr>
          <w:p>
            <w:pPr>
              <w:rPr>
                <w:sz w:val="2"/>
                <w:szCs w:val="2"/>
              </w:rPr>
            </w:pPr>
          </w:p>
        </w:tc>
        <w:tc>
          <w:tcPr>
            <w:tcW w:w="774" w:type="dxa"/>
            <w:vMerge w:val="continue"/>
            <w:tcBorders>
              <w:top w:val="nil"/>
            </w:tcBorders>
            <w:vAlign w:val="top"/>
          </w:tcPr>
          <w:p>
            <w:pPr>
              <w:rPr>
                <w:sz w:val="2"/>
                <w:szCs w:val="2"/>
              </w:rPr>
            </w:pPr>
          </w:p>
        </w:tc>
      </w:tr>
      <w:tr>
        <w:trPr>
          <w:trHeight w:val="275" w:hRule="atLeast"/>
        </w:trPr>
        <w:tc>
          <w:tcPr>
            <w:tcW w:w="657" w:type="dxa"/>
            <w:tcBorders>
              <w:top w:val="nil"/>
              <w:bottom w:val="nil"/>
            </w:tcBorders>
            <w:vAlign w:val="top"/>
          </w:tcPr>
          <w:p>
            <w:pPr>
              <w:pStyle w:val="7"/>
              <w:rPr>
                <w:rFonts w:ascii="Times New Roman"/>
                <w:sz w:val="20"/>
              </w:rPr>
            </w:pPr>
          </w:p>
        </w:tc>
        <w:tc>
          <w:tcPr>
            <w:tcW w:w="656" w:type="dxa"/>
            <w:vMerge w:val="continue"/>
            <w:tcBorders>
              <w:top w:val="nil"/>
            </w:tcBorders>
            <w:textDirection w:val="tbRl"/>
            <w:vAlign w:val="top"/>
          </w:tcPr>
          <w:p>
            <w:pPr>
              <w:rPr>
                <w:sz w:val="2"/>
                <w:szCs w:val="2"/>
              </w:rPr>
            </w:pPr>
          </w:p>
        </w:tc>
        <w:tc>
          <w:tcPr>
            <w:tcW w:w="711" w:type="dxa"/>
            <w:tcBorders>
              <w:top w:val="nil"/>
              <w:bottom w:val="nil"/>
            </w:tcBorders>
            <w:vAlign w:val="top"/>
          </w:tcPr>
          <w:p>
            <w:pPr>
              <w:pStyle w:val="7"/>
              <w:rPr>
                <w:rFonts w:ascii="Times New Roman"/>
                <w:sz w:val="20"/>
              </w:rPr>
            </w:pPr>
          </w:p>
        </w:tc>
        <w:tc>
          <w:tcPr>
            <w:tcW w:w="2145" w:type="dxa"/>
            <w:tcBorders>
              <w:top w:val="nil"/>
              <w:bottom w:val="nil"/>
            </w:tcBorders>
            <w:vAlign w:val="top"/>
          </w:tcPr>
          <w:p>
            <w:pPr>
              <w:pStyle w:val="7"/>
              <w:rPr>
                <w:rFonts w:ascii="Times New Roman"/>
                <w:sz w:val="20"/>
              </w:rPr>
            </w:pPr>
          </w:p>
        </w:tc>
        <w:tc>
          <w:tcPr>
            <w:tcW w:w="7306" w:type="dxa"/>
            <w:tcBorders>
              <w:top w:val="nil"/>
              <w:bottom w:val="nil"/>
            </w:tcBorders>
            <w:vAlign w:val="top"/>
          </w:tcPr>
          <w:p>
            <w:pPr>
              <w:pStyle w:val="7"/>
              <w:spacing w:before="16" w:line="239" w:lineRule="exact"/>
              <w:ind w:left="108"/>
              <w:rPr>
                <w:sz w:val="21"/>
              </w:rPr>
            </w:pPr>
            <w:r>
              <w:rPr>
                <w:sz w:val="21"/>
              </w:rPr>
              <w:t>应当组织验收。</w:t>
            </w:r>
          </w:p>
        </w:tc>
        <w:tc>
          <w:tcPr>
            <w:tcW w:w="2969" w:type="dxa"/>
            <w:vMerge w:val="continue"/>
            <w:tcBorders>
              <w:top w:val="nil"/>
            </w:tcBorders>
            <w:vAlign w:val="top"/>
          </w:tcPr>
          <w:p>
            <w:pPr>
              <w:rPr>
                <w:sz w:val="2"/>
                <w:szCs w:val="2"/>
              </w:rPr>
            </w:pPr>
          </w:p>
        </w:tc>
        <w:tc>
          <w:tcPr>
            <w:tcW w:w="774" w:type="dxa"/>
            <w:vMerge w:val="continue"/>
            <w:tcBorders>
              <w:top w:val="nil"/>
            </w:tcBorders>
            <w:vAlign w:val="top"/>
          </w:tcPr>
          <w:p>
            <w:pPr>
              <w:rPr>
                <w:sz w:val="2"/>
                <w:szCs w:val="2"/>
              </w:rPr>
            </w:pPr>
          </w:p>
        </w:tc>
      </w:tr>
      <w:tr>
        <w:trPr>
          <w:trHeight w:val="640" w:hRule="atLeast"/>
        </w:trPr>
        <w:tc>
          <w:tcPr>
            <w:tcW w:w="657" w:type="dxa"/>
            <w:tcBorders>
              <w:top w:val="nil"/>
              <w:bottom w:val="nil"/>
            </w:tcBorders>
            <w:vAlign w:val="top"/>
          </w:tcPr>
          <w:p>
            <w:pPr>
              <w:pStyle w:val="7"/>
              <w:spacing w:before="145"/>
              <w:ind w:left="96" w:right="90"/>
              <w:jc w:val="center"/>
              <w:rPr>
                <w:sz w:val="21"/>
              </w:rPr>
            </w:pPr>
            <w:r>
              <w:rPr>
                <w:sz w:val="21"/>
              </w:rPr>
              <w:t>32</w:t>
            </w:r>
          </w:p>
        </w:tc>
        <w:tc>
          <w:tcPr>
            <w:tcW w:w="656" w:type="dxa"/>
            <w:vMerge w:val="continue"/>
            <w:tcBorders>
              <w:top w:val="nil"/>
            </w:tcBorders>
            <w:textDirection w:val="tbRl"/>
            <w:vAlign w:val="top"/>
          </w:tcPr>
          <w:p>
            <w:pPr>
              <w:rPr>
                <w:sz w:val="2"/>
                <w:szCs w:val="2"/>
              </w:rPr>
            </w:pPr>
          </w:p>
        </w:tc>
        <w:tc>
          <w:tcPr>
            <w:tcW w:w="711" w:type="dxa"/>
            <w:tcBorders>
              <w:top w:val="nil"/>
              <w:bottom w:val="nil"/>
            </w:tcBorders>
            <w:vAlign w:val="top"/>
          </w:tcPr>
          <w:p>
            <w:pPr>
              <w:pStyle w:val="7"/>
              <w:rPr>
                <w:rFonts w:ascii="Times New Roman"/>
                <w:sz w:val="20"/>
              </w:rPr>
            </w:pPr>
          </w:p>
          <w:p>
            <w:pPr>
              <w:pStyle w:val="7"/>
              <w:spacing w:before="124" w:line="266" w:lineRule="exact"/>
              <w:ind w:left="108"/>
              <w:rPr>
                <w:sz w:val="21"/>
              </w:rPr>
            </w:pPr>
            <w:r>
              <w:rPr>
                <w:sz w:val="21"/>
              </w:rPr>
              <w:t>一般</w:t>
            </w:r>
          </w:p>
        </w:tc>
        <w:tc>
          <w:tcPr>
            <w:tcW w:w="2145" w:type="dxa"/>
            <w:tcBorders>
              <w:top w:val="nil"/>
              <w:bottom w:val="nil"/>
            </w:tcBorders>
            <w:vAlign w:val="top"/>
          </w:tcPr>
          <w:p>
            <w:pPr>
              <w:pStyle w:val="7"/>
              <w:spacing w:line="278" w:lineRule="auto"/>
              <w:ind w:left="108" w:right="97"/>
              <w:rPr>
                <w:sz w:val="21"/>
              </w:rPr>
            </w:pPr>
            <w:r>
              <w:rPr>
                <w:sz w:val="21"/>
              </w:rPr>
              <w:t>应对自身排查出的隐患按期完成治理</w:t>
            </w:r>
          </w:p>
        </w:tc>
        <w:tc>
          <w:tcPr>
            <w:tcW w:w="7306" w:type="dxa"/>
            <w:tcBorders>
              <w:top w:val="nil"/>
              <w:bottom w:val="nil"/>
            </w:tcBorders>
            <w:vAlign w:val="top"/>
          </w:tcPr>
          <w:p>
            <w:pPr>
              <w:pStyle w:val="7"/>
              <w:tabs>
                <w:tab w:val="left" w:pos="533"/>
                <w:tab w:val="left" w:pos="2753"/>
              </w:tabs>
              <w:spacing w:before="3" w:line="312" w:lineRule="exact"/>
              <w:ind w:left="108" w:right="98"/>
              <w:rPr>
                <w:sz w:val="21"/>
              </w:rPr>
            </w:pPr>
            <w:r>
              <w:rPr>
                <w:sz w:val="21"/>
              </w:rPr>
              <w:t>《</w:t>
            </w:r>
            <w:r>
              <w:rPr>
                <w:sz w:val="21"/>
              </w:rPr>
              <w:tab/>
            </w:r>
            <w:r>
              <w:rPr>
                <w:sz w:val="21"/>
              </w:rPr>
              <w:t>办法</w:t>
            </w:r>
            <w:r>
              <w:rPr>
                <w:spacing w:val="4"/>
                <w:sz w:val="21"/>
              </w:rPr>
              <w:t>》</w:t>
            </w:r>
            <w:r>
              <w:rPr>
                <w:sz w:val="21"/>
              </w:rPr>
              <w:t>第</w:t>
            </w:r>
            <w:r>
              <w:rPr>
                <w:spacing w:val="-53"/>
                <w:sz w:val="21"/>
              </w:rPr>
              <w:t xml:space="preserve"> </w:t>
            </w:r>
            <w:r>
              <w:rPr>
                <w:sz w:val="21"/>
              </w:rPr>
              <w:t>17</w:t>
            </w:r>
            <w:r>
              <w:rPr>
                <w:spacing w:val="-52"/>
                <w:sz w:val="21"/>
              </w:rPr>
              <w:t xml:space="preserve"> </w:t>
            </w:r>
            <w:r>
              <w:rPr>
                <w:sz w:val="21"/>
              </w:rPr>
              <w:t>条第</w:t>
            </w:r>
            <w:r>
              <w:rPr>
                <w:spacing w:val="4"/>
                <w:sz w:val="21"/>
              </w:rPr>
              <w:t>一</w:t>
            </w:r>
            <w:r>
              <w:rPr>
                <w:sz w:val="21"/>
              </w:rPr>
              <w:t>款</w:t>
            </w:r>
            <w:r>
              <w:rPr>
                <w:sz w:val="21"/>
              </w:rPr>
              <w:tab/>
            </w:r>
            <w:r>
              <w:rPr>
                <w:sz w:val="21"/>
              </w:rPr>
              <w:t>经排</w:t>
            </w:r>
            <w:r>
              <w:rPr>
                <w:spacing w:val="4"/>
                <w:sz w:val="21"/>
              </w:rPr>
              <w:t>查</w:t>
            </w:r>
            <w:r>
              <w:rPr>
                <w:sz w:val="21"/>
              </w:rPr>
              <w:t>发现事故</w:t>
            </w:r>
            <w:r>
              <w:rPr>
                <w:spacing w:val="4"/>
                <w:sz w:val="21"/>
              </w:rPr>
              <w:t>隐</w:t>
            </w:r>
            <w:r>
              <w:rPr>
                <w:sz w:val="21"/>
              </w:rPr>
              <w:t>患的，对</w:t>
            </w:r>
            <w:r>
              <w:rPr>
                <w:spacing w:val="4"/>
                <w:sz w:val="21"/>
              </w:rPr>
              <w:t>一</w:t>
            </w:r>
            <w:r>
              <w:rPr>
                <w:sz w:val="21"/>
              </w:rPr>
              <w:t>般事故</w:t>
            </w:r>
            <w:r>
              <w:rPr>
                <w:spacing w:val="4"/>
                <w:sz w:val="21"/>
              </w:rPr>
              <w:t>隐</w:t>
            </w:r>
            <w:r>
              <w:rPr>
                <w:sz w:val="21"/>
              </w:rPr>
              <w:t>患应当</w:t>
            </w:r>
            <w:r>
              <w:rPr>
                <w:spacing w:val="-12"/>
                <w:sz w:val="21"/>
              </w:rPr>
              <w:t>确</w:t>
            </w:r>
            <w:r>
              <w:rPr>
                <w:sz w:val="21"/>
              </w:rPr>
              <w:t>定治理措施，当场或者限时治理。对重大事故隐患应当制定治理方案。</w:t>
            </w:r>
          </w:p>
        </w:tc>
        <w:tc>
          <w:tcPr>
            <w:tcW w:w="2969" w:type="dxa"/>
            <w:vMerge w:val="continue"/>
            <w:tcBorders>
              <w:top w:val="nil"/>
            </w:tcBorders>
            <w:vAlign w:val="top"/>
          </w:tcPr>
          <w:p>
            <w:pPr>
              <w:rPr>
                <w:sz w:val="2"/>
                <w:szCs w:val="2"/>
              </w:rPr>
            </w:pPr>
          </w:p>
        </w:tc>
        <w:tc>
          <w:tcPr>
            <w:tcW w:w="774" w:type="dxa"/>
            <w:vMerge w:val="continue"/>
            <w:tcBorders>
              <w:top w:val="nil"/>
            </w:tcBorders>
            <w:vAlign w:val="top"/>
          </w:tcPr>
          <w:p>
            <w:pPr>
              <w:rPr>
                <w:sz w:val="2"/>
                <w:szCs w:val="2"/>
              </w:rPr>
            </w:pPr>
          </w:p>
        </w:tc>
      </w:tr>
      <w:tr>
        <w:trPr>
          <w:trHeight w:val="302" w:hRule="atLeast"/>
        </w:trPr>
        <w:tc>
          <w:tcPr>
            <w:tcW w:w="657" w:type="dxa"/>
            <w:tcBorders>
              <w:top w:val="nil"/>
              <w:bottom w:val="nil"/>
            </w:tcBorders>
            <w:vAlign w:val="top"/>
          </w:tcPr>
          <w:p>
            <w:pPr>
              <w:pStyle w:val="7"/>
              <w:rPr>
                <w:rFonts w:ascii="Times New Roman"/>
                <w:sz w:val="20"/>
              </w:rPr>
            </w:pPr>
          </w:p>
        </w:tc>
        <w:tc>
          <w:tcPr>
            <w:tcW w:w="656" w:type="dxa"/>
            <w:vMerge w:val="continue"/>
            <w:tcBorders>
              <w:top w:val="nil"/>
            </w:tcBorders>
            <w:textDirection w:val="tbRl"/>
            <w:vAlign w:val="top"/>
          </w:tcPr>
          <w:p>
            <w:pPr>
              <w:rPr>
                <w:sz w:val="2"/>
                <w:szCs w:val="2"/>
              </w:rPr>
            </w:pPr>
          </w:p>
        </w:tc>
        <w:tc>
          <w:tcPr>
            <w:tcW w:w="711" w:type="dxa"/>
            <w:tcBorders>
              <w:top w:val="nil"/>
              <w:bottom w:val="nil"/>
            </w:tcBorders>
            <w:vAlign w:val="top"/>
          </w:tcPr>
          <w:p>
            <w:pPr>
              <w:pStyle w:val="7"/>
              <w:spacing w:before="16" w:line="266" w:lineRule="exact"/>
              <w:ind w:left="108"/>
              <w:rPr>
                <w:sz w:val="21"/>
              </w:rPr>
            </w:pPr>
            <w:r>
              <w:rPr>
                <w:sz w:val="21"/>
              </w:rPr>
              <w:t>隐患</w:t>
            </w:r>
          </w:p>
        </w:tc>
        <w:tc>
          <w:tcPr>
            <w:tcW w:w="2145" w:type="dxa"/>
            <w:tcBorders>
              <w:top w:val="nil"/>
              <w:bottom w:val="nil"/>
            </w:tcBorders>
            <w:vAlign w:val="top"/>
          </w:tcPr>
          <w:p>
            <w:pPr>
              <w:pStyle w:val="7"/>
              <w:rPr>
                <w:rFonts w:ascii="Times New Roman"/>
                <w:sz w:val="20"/>
              </w:rPr>
            </w:pPr>
          </w:p>
        </w:tc>
        <w:tc>
          <w:tcPr>
            <w:tcW w:w="7306" w:type="dxa"/>
            <w:tcBorders>
              <w:top w:val="nil"/>
              <w:bottom w:val="nil"/>
            </w:tcBorders>
            <w:vAlign w:val="top"/>
          </w:tcPr>
          <w:p>
            <w:pPr>
              <w:pStyle w:val="7"/>
              <w:rPr>
                <w:rFonts w:ascii="Times New Roman"/>
                <w:sz w:val="20"/>
              </w:rPr>
            </w:pPr>
          </w:p>
        </w:tc>
        <w:tc>
          <w:tcPr>
            <w:tcW w:w="2969" w:type="dxa"/>
            <w:vMerge w:val="continue"/>
            <w:tcBorders>
              <w:top w:val="nil"/>
            </w:tcBorders>
            <w:vAlign w:val="top"/>
          </w:tcPr>
          <w:p>
            <w:pPr>
              <w:rPr>
                <w:sz w:val="2"/>
                <w:szCs w:val="2"/>
              </w:rPr>
            </w:pPr>
          </w:p>
        </w:tc>
        <w:tc>
          <w:tcPr>
            <w:tcW w:w="774" w:type="dxa"/>
            <w:vMerge w:val="continue"/>
            <w:tcBorders>
              <w:top w:val="nil"/>
            </w:tcBorders>
            <w:vAlign w:val="top"/>
          </w:tcPr>
          <w:p>
            <w:pPr>
              <w:rPr>
                <w:sz w:val="2"/>
                <w:szCs w:val="2"/>
              </w:rPr>
            </w:pPr>
          </w:p>
        </w:tc>
      </w:tr>
      <w:tr>
        <w:trPr>
          <w:trHeight w:val="302" w:hRule="atLeast"/>
        </w:trPr>
        <w:tc>
          <w:tcPr>
            <w:tcW w:w="657" w:type="dxa"/>
            <w:tcBorders>
              <w:top w:val="nil"/>
              <w:bottom w:val="nil"/>
            </w:tcBorders>
            <w:vAlign w:val="top"/>
          </w:tcPr>
          <w:p>
            <w:pPr>
              <w:pStyle w:val="7"/>
              <w:rPr>
                <w:rFonts w:ascii="Times New Roman"/>
                <w:sz w:val="20"/>
              </w:rPr>
            </w:pPr>
          </w:p>
        </w:tc>
        <w:tc>
          <w:tcPr>
            <w:tcW w:w="656" w:type="dxa"/>
            <w:vMerge w:val="continue"/>
            <w:tcBorders>
              <w:top w:val="nil"/>
            </w:tcBorders>
            <w:textDirection w:val="tbRl"/>
            <w:vAlign w:val="top"/>
          </w:tcPr>
          <w:p>
            <w:pPr>
              <w:rPr>
                <w:sz w:val="2"/>
                <w:szCs w:val="2"/>
              </w:rPr>
            </w:pPr>
          </w:p>
        </w:tc>
        <w:tc>
          <w:tcPr>
            <w:tcW w:w="711" w:type="dxa"/>
            <w:tcBorders>
              <w:top w:val="nil"/>
              <w:bottom w:val="nil"/>
            </w:tcBorders>
            <w:vAlign w:val="top"/>
          </w:tcPr>
          <w:p>
            <w:pPr>
              <w:pStyle w:val="7"/>
              <w:spacing w:before="16" w:line="266" w:lineRule="exact"/>
              <w:ind w:left="108"/>
              <w:rPr>
                <w:sz w:val="21"/>
              </w:rPr>
            </w:pPr>
            <w:r>
              <w:rPr>
                <w:sz w:val="21"/>
              </w:rPr>
              <w:t>治理</w:t>
            </w:r>
          </w:p>
        </w:tc>
        <w:tc>
          <w:tcPr>
            <w:tcW w:w="2145" w:type="dxa"/>
            <w:tcBorders>
              <w:top w:val="nil"/>
              <w:bottom w:val="nil"/>
            </w:tcBorders>
            <w:vAlign w:val="top"/>
          </w:tcPr>
          <w:p>
            <w:pPr>
              <w:pStyle w:val="7"/>
              <w:rPr>
                <w:rFonts w:ascii="Times New Roman"/>
                <w:sz w:val="20"/>
              </w:rPr>
            </w:pPr>
          </w:p>
        </w:tc>
        <w:tc>
          <w:tcPr>
            <w:tcW w:w="7306" w:type="dxa"/>
            <w:tcBorders>
              <w:top w:val="nil"/>
              <w:bottom w:val="nil"/>
            </w:tcBorders>
            <w:vAlign w:val="top"/>
          </w:tcPr>
          <w:p>
            <w:pPr>
              <w:pStyle w:val="7"/>
              <w:spacing w:before="16" w:line="266" w:lineRule="exact"/>
              <w:ind w:right="93"/>
              <w:jc w:val="right"/>
              <w:rPr>
                <w:sz w:val="21"/>
              </w:rPr>
            </w:pPr>
            <w:r>
              <w:rPr>
                <w:sz w:val="21"/>
              </w:rPr>
              <w:t>《安全生产事故隐患排查治理暂行规定》（原总局令 16 号）第 10 条：生</w:t>
            </w:r>
          </w:p>
        </w:tc>
        <w:tc>
          <w:tcPr>
            <w:tcW w:w="2969" w:type="dxa"/>
            <w:vMerge w:val="continue"/>
            <w:tcBorders>
              <w:top w:val="nil"/>
            </w:tcBorders>
            <w:vAlign w:val="top"/>
          </w:tcPr>
          <w:p>
            <w:pPr>
              <w:rPr>
                <w:sz w:val="2"/>
                <w:szCs w:val="2"/>
              </w:rPr>
            </w:pPr>
          </w:p>
        </w:tc>
        <w:tc>
          <w:tcPr>
            <w:tcW w:w="774" w:type="dxa"/>
            <w:vMerge w:val="continue"/>
            <w:tcBorders>
              <w:top w:val="nil"/>
            </w:tcBorders>
            <w:vAlign w:val="top"/>
          </w:tcPr>
          <w:p>
            <w:pPr>
              <w:rPr>
                <w:sz w:val="2"/>
                <w:szCs w:val="2"/>
              </w:rPr>
            </w:pPr>
          </w:p>
        </w:tc>
      </w:tr>
      <w:tr>
        <w:trPr>
          <w:trHeight w:val="66" w:hRule="atLeast"/>
        </w:trPr>
        <w:tc>
          <w:tcPr>
            <w:tcW w:w="657" w:type="dxa"/>
            <w:tcBorders>
              <w:top w:val="nil"/>
            </w:tcBorders>
            <w:vAlign w:val="top"/>
          </w:tcPr>
          <w:p>
            <w:pPr>
              <w:pStyle w:val="7"/>
              <w:rPr>
                <w:rFonts w:ascii="Times New Roman"/>
                <w:sz w:val="2"/>
              </w:rPr>
            </w:pPr>
          </w:p>
        </w:tc>
        <w:tc>
          <w:tcPr>
            <w:tcW w:w="656" w:type="dxa"/>
            <w:vMerge w:val="continue"/>
            <w:tcBorders>
              <w:top w:val="nil"/>
            </w:tcBorders>
            <w:textDirection w:val="tbRl"/>
            <w:vAlign w:val="top"/>
          </w:tcPr>
          <w:p>
            <w:pPr>
              <w:rPr>
                <w:sz w:val="2"/>
                <w:szCs w:val="2"/>
              </w:rPr>
            </w:pPr>
          </w:p>
        </w:tc>
        <w:tc>
          <w:tcPr>
            <w:tcW w:w="711" w:type="dxa"/>
            <w:vMerge w:val="restart"/>
            <w:tcBorders>
              <w:top w:val="nil"/>
              <w:bottom w:val="nil"/>
            </w:tcBorders>
            <w:vAlign w:val="top"/>
          </w:tcPr>
          <w:p>
            <w:pPr>
              <w:pStyle w:val="7"/>
              <w:rPr>
                <w:rFonts w:ascii="Times New Roman"/>
                <w:sz w:val="20"/>
              </w:rPr>
            </w:pPr>
          </w:p>
        </w:tc>
        <w:tc>
          <w:tcPr>
            <w:tcW w:w="2145" w:type="dxa"/>
            <w:tcBorders>
              <w:top w:val="nil"/>
            </w:tcBorders>
            <w:vAlign w:val="top"/>
          </w:tcPr>
          <w:p>
            <w:pPr>
              <w:pStyle w:val="7"/>
              <w:rPr>
                <w:rFonts w:ascii="Times New Roman"/>
                <w:sz w:val="2"/>
              </w:rPr>
            </w:pPr>
          </w:p>
        </w:tc>
        <w:tc>
          <w:tcPr>
            <w:tcW w:w="7306" w:type="dxa"/>
            <w:vMerge w:val="restart"/>
            <w:tcBorders>
              <w:top w:val="nil"/>
              <w:bottom w:val="nil"/>
            </w:tcBorders>
            <w:vAlign w:val="top"/>
          </w:tcPr>
          <w:p>
            <w:pPr>
              <w:pStyle w:val="7"/>
              <w:spacing w:before="16" w:line="266" w:lineRule="exact"/>
              <w:ind w:left="108"/>
              <w:rPr>
                <w:sz w:val="21"/>
              </w:rPr>
            </w:pPr>
            <w:r>
              <w:rPr>
                <w:sz w:val="21"/>
              </w:rPr>
              <w:t>产经营单位应当定期组织安全生产管理人员、工程技术人员和其他相关人员排</w:t>
            </w:r>
          </w:p>
        </w:tc>
        <w:tc>
          <w:tcPr>
            <w:tcW w:w="2969" w:type="dxa"/>
            <w:vMerge w:val="continue"/>
            <w:tcBorders>
              <w:top w:val="nil"/>
            </w:tcBorders>
            <w:vAlign w:val="top"/>
          </w:tcPr>
          <w:p>
            <w:pPr>
              <w:rPr>
                <w:sz w:val="2"/>
                <w:szCs w:val="2"/>
              </w:rPr>
            </w:pPr>
          </w:p>
        </w:tc>
        <w:tc>
          <w:tcPr>
            <w:tcW w:w="774" w:type="dxa"/>
            <w:vMerge w:val="continue"/>
            <w:tcBorders>
              <w:top w:val="nil"/>
            </w:tcBorders>
            <w:vAlign w:val="top"/>
          </w:tcPr>
          <w:p>
            <w:pPr>
              <w:rPr>
                <w:sz w:val="2"/>
                <w:szCs w:val="2"/>
              </w:rPr>
            </w:pPr>
          </w:p>
        </w:tc>
      </w:tr>
      <w:tr>
        <w:trPr>
          <w:trHeight w:val="225" w:hRule="atLeast"/>
        </w:trPr>
        <w:tc>
          <w:tcPr>
            <w:tcW w:w="657" w:type="dxa"/>
            <w:tcBorders>
              <w:bottom w:val="nil"/>
            </w:tcBorders>
            <w:vAlign w:val="top"/>
          </w:tcPr>
          <w:p>
            <w:pPr>
              <w:pStyle w:val="7"/>
              <w:rPr>
                <w:rFonts w:ascii="Times New Roman"/>
                <w:sz w:val="16"/>
              </w:rPr>
            </w:pPr>
          </w:p>
        </w:tc>
        <w:tc>
          <w:tcPr>
            <w:tcW w:w="656" w:type="dxa"/>
            <w:vMerge w:val="continue"/>
            <w:tcBorders>
              <w:top w:val="nil"/>
            </w:tcBorders>
            <w:textDirection w:val="tbRl"/>
            <w:vAlign w:val="top"/>
          </w:tcPr>
          <w:p>
            <w:pPr>
              <w:rPr>
                <w:sz w:val="2"/>
                <w:szCs w:val="2"/>
              </w:rPr>
            </w:pPr>
          </w:p>
        </w:tc>
        <w:tc>
          <w:tcPr>
            <w:tcW w:w="711" w:type="dxa"/>
            <w:vMerge w:val="continue"/>
            <w:tcBorders>
              <w:top w:val="nil"/>
              <w:bottom w:val="nil"/>
            </w:tcBorders>
            <w:vAlign w:val="top"/>
          </w:tcPr>
          <w:p>
            <w:pPr>
              <w:rPr>
                <w:sz w:val="2"/>
                <w:szCs w:val="2"/>
              </w:rPr>
            </w:pPr>
          </w:p>
        </w:tc>
        <w:tc>
          <w:tcPr>
            <w:tcW w:w="2145" w:type="dxa"/>
            <w:tcBorders>
              <w:bottom w:val="nil"/>
            </w:tcBorders>
            <w:vAlign w:val="top"/>
          </w:tcPr>
          <w:p>
            <w:pPr>
              <w:pStyle w:val="7"/>
              <w:rPr>
                <w:rFonts w:ascii="Times New Roman"/>
                <w:sz w:val="16"/>
              </w:rPr>
            </w:pPr>
          </w:p>
        </w:tc>
        <w:tc>
          <w:tcPr>
            <w:tcW w:w="7306" w:type="dxa"/>
            <w:vMerge w:val="continue"/>
            <w:tcBorders>
              <w:top w:val="nil"/>
              <w:bottom w:val="nil"/>
            </w:tcBorders>
            <w:vAlign w:val="top"/>
          </w:tcPr>
          <w:p>
            <w:pPr>
              <w:rPr>
                <w:sz w:val="2"/>
                <w:szCs w:val="2"/>
              </w:rPr>
            </w:pPr>
          </w:p>
        </w:tc>
        <w:tc>
          <w:tcPr>
            <w:tcW w:w="2969" w:type="dxa"/>
            <w:vMerge w:val="continue"/>
            <w:tcBorders>
              <w:top w:val="nil"/>
            </w:tcBorders>
            <w:vAlign w:val="top"/>
          </w:tcPr>
          <w:p>
            <w:pPr>
              <w:rPr>
                <w:sz w:val="2"/>
                <w:szCs w:val="2"/>
              </w:rPr>
            </w:pPr>
          </w:p>
        </w:tc>
        <w:tc>
          <w:tcPr>
            <w:tcW w:w="774" w:type="dxa"/>
            <w:vMerge w:val="restart"/>
            <w:vAlign w:val="top"/>
          </w:tcPr>
          <w:p>
            <w:pPr>
              <w:pStyle w:val="7"/>
              <w:rPr>
                <w:rFonts w:ascii="Times New Roman"/>
                <w:sz w:val="20"/>
              </w:rPr>
            </w:pPr>
          </w:p>
        </w:tc>
      </w:tr>
      <w:tr>
        <w:trPr>
          <w:trHeight w:val="301" w:hRule="atLeast"/>
        </w:trPr>
        <w:tc>
          <w:tcPr>
            <w:tcW w:w="657" w:type="dxa"/>
            <w:tcBorders>
              <w:top w:val="nil"/>
              <w:bottom w:val="nil"/>
            </w:tcBorders>
            <w:vAlign w:val="top"/>
          </w:tcPr>
          <w:p>
            <w:pPr>
              <w:pStyle w:val="7"/>
              <w:rPr>
                <w:rFonts w:ascii="Times New Roman"/>
                <w:sz w:val="20"/>
              </w:rPr>
            </w:pPr>
          </w:p>
        </w:tc>
        <w:tc>
          <w:tcPr>
            <w:tcW w:w="656" w:type="dxa"/>
            <w:vMerge w:val="continue"/>
            <w:tcBorders>
              <w:top w:val="nil"/>
            </w:tcBorders>
            <w:textDirection w:val="tbRl"/>
            <w:vAlign w:val="top"/>
          </w:tcPr>
          <w:p>
            <w:pPr>
              <w:rPr>
                <w:sz w:val="2"/>
                <w:szCs w:val="2"/>
              </w:rPr>
            </w:pPr>
          </w:p>
        </w:tc>
        <w:tc>
          <w:tcPr>
            <w:tcW w:w="711" w:type="dxa"/>
            <w:tcBorders>
              <w:top w:val="nil"/>
              <w:bottom w:val="nil"/>
            </w:tcBorders>
            <w:vAlign w:val="top"/>
          </w:tcPr>
          <w:p>
            <w:pPr>
              <w:pStyle w:val="7"/>
              <w:rPr>
                <w:rFonts w:ascii="Times New Roman"/>
                <w:sz w:val="20"/>
              </w:rPr>
            </w:pPr>
          </w:p>
        </w:tc>
        <w:tc>
          <w:tcPr>
            <w:tcW w:w="2145" w:type="dxa"/>
            <w:tcBorders>
              <w:top w:val="nil"/>
              <w:bottom w:val="nil"/>
            </w:tcBorders>
            <w:vAlign w:val="top"/>
          </w:tcPr>
          <w:p>
            <w:pPr>
              <w:pStyle w:val="7"/>
              <w:rPr>
                <w:rFonts w:ascii="Times New Roman"/>
                <w:sz w:val="20"/>
              </w:rPr>
            </w:pPr>
          </w:p>
        </w:tc>
        <w:tc>
          <w:tcPr>
            <w:tcW w:w="7306" w:type="dxa"/>
            <w:tcBorders>
              <w:top w:val="nil"/>
              <w:bottom w:val="nil"/>
            </w:tcBorders>
            <w:vAlign w:val="top"/>
          </w:tcPr>
          <w:p>
            <w:pPr>
              <w:pStyle w:val="7"/>
              <w:spacing w:before="16" w:line="266" w:lineRule="exact"/>
              <w:ind w:left="108"/>
              <w:rPr>
                <w:sz w:val="21"/>
              </w:rPr>
            </w:pPr>
            <w:r>
              <w:rPr>
                <w:sz w:val="21"/>
              </w:rPr>
              <w:t>查本单位的事故隐患。对排查出的事故隐患，应当按照事故隐患的等级进行登</w:t>
            </w:r>
          </w:p>
        </w:tc>
        <w:tc>
          <w:tcPr>
            <w:tcW w:w="2969" w:type="dxa"/>
            <w:vMerge w:val="continue"/>
            <w:tcBorders>
              <w:top w:val="nil"/>
            </w:tcBorders>
            <w:vAlign w:val="top"/>
          </w:tcPr>
          <w:p>
            <w:pPr>
              <w:rPr>
                <w:sz w:val="2"/>
                <w:szCs w:val="2"/>
              </w:rPr>
            </w:pPr>
          </w:p>
        </w:tc>
        <w:tc>
          <w:tcPr>
            <w:tcW w:w="774" w:type="dxa"/>
            <w:vMerge w:val="continue"/>
            <w:tcBorders>
              <w:top w:val="nil"/>
            </w:tcBorders>
            <w:vAlign w:val="top"/>
          </w:tcPr>
          <w:p>
            <w:pPr>
              <w:rPr>
                <w:sz w:val="2"/>
                <w:szCs w:val="2"/>
              </w:rPr>
            </w:pPr>
          </w:p>
        </w:tc>
      </w:tr>
      <w:tr>
        <w:trPr>
          <w:trHeight w:val="302" w:hRule="atLeast"/>
        </w:trPr>
        <w:tc>
          <w:tcPr>
            <w:tcW w:w="657" w:type="dxa"/>
            <w:tcBorders>
              <w:top w:val="nil"/>
              <w:bottom w:val="nil"/>
            </w:tcBorders>
            <w:vAlign w:val="top"/>
          </w:tcPr>
          <w:p>
            <w:pPr>
              <w:pStyle w:val="7"/>
              <w:rPr>
                <w:rFonts w:ascii="Times New Roman"/>
                <w:sz w:val="20"/>
              </w:rPr>
            </w:pPr>
          </w:p>
        </w:tc>
        <w:tc>
          <w:tcPr>
            <w:tcW w:w="656" w:type="dxa"/>
            <w:vMerge w:val="continue"/>
            <w:tcBorders>
              <w:top w:val="nil"/>
            </w:tcBorders>
            <w:textDirection w:val="tbRl"/>
            <w:vAlign w:val="top"/>
          </w:tcPr>
          <w:p>
            <w:pPr>
              <w:rPr>
                <w:sz w:val="2"/>
                <w:szCs w:val="2"/>
              </w:rPr>
            </w:pPr>
          </w:p>
        </w:tc>
        <w:tc>
          <w:tcPr>
            <w:tcW w:w="711" w:type="dxa"/>
            <w:tcBorders>
              <w:top w:val="nil"/>
              <w:bottom w:val="nil"/>
            </w:tcBorders>
            <w:vAlign w:val="top"/>
          </w:tcPr>
          <w:p>
            <w:pPr>
              <w:pStyle w:val="7"/>
              <w:rPr>
                <w:rFonts w:ascii="Times New Roman"/>
                <w:sz w:val="20"/>
              </w:rPr>
            </w:pPr>
          </w:p>
        </w:tc>
        <w:tc>
          <w:tcPr>
            <w:tcW w:w="2145" w:type="dxa"/>
            <w:tcBorders>
              <w:top w:val="nil"/>
              <w:bottom w:val="nil"/>
            </w:tcBorders>
            <w:vAlign w:val="top"/>
          </w:tcPr>
          <w:p>
            <w:pPr>
              <w:pStyle w:val="7"/>
              <w:rPr>
                <w:rFonts w:ascii="Times New Roman"/>
                <w:sz w:val="20"/>
              </w:rPr>
            </w:pPr>
          </w:p>
        </w:tc>
        <w:tc>
          <w:tcPr>
            <w:tcW w:w="7306" w:type="dxa"/>
            <w:tcBorders>
              <w:top w:val="nil"/>
              <w:bottom w:val="nil"/>
            </w:tcBorders>
            <w:vAlign w:val="top"/>
          </w:tcPr>
          <w:p>
            <w:pPr>
              <w:pStyle w:val="7"/>
              <w:spacing w:before="16" w:line="266" w:lineRule="exact"/>
              <w:ind w:left="108"/>
              <w:rPr>
                <w:sz w:val="21"/>
              </w:rPr>
            </w:pPr>
            <w:r>
              <w:rPr>
                <w:sz w:val="21"/>
              </w:rPr>
              <w:t>记，建立事故隐患信息档案，并按照职责分工实施监控治理。</w:t>
            </w:r>
          </w:p>
        </w:tc>
        <w:tc>
          <w:tcPr>
            <w:tcW w:w="2969" w:type="dxa"/>
            <w:vMerge w:val="continue"/>
            <w:tcBorders>
              <w:top w:val="nil"/>
            </w:tcBorders>
            <w:vAlign w:val="top"/>
          </w:tcPr>
          <w:p>
            <w:pPr>
              <w:rPr>
                <w:sz w:val="2"/>
                <w:szCs w:val="2"/>
              </w:rPr>
            </w:pPr>
          </w:p>
        </w:tc>
        <w:tc>
          <w:tcPr>
            <w:tcW w:w="774" w:type="dxa"/>
            <w:vMerge w:val="continue"/>
            <w:tcBorders>
              <w:top w:val="nil"/>
            </w:tcBorders>
            <w:vAlign w:val="top"/>
          </w:tcPr>
          <w:p>
            <w:pPr>
              <w:rPr>
                <w:sz w:val="2"/>
                <w:szCs w:val="2"/>
              </w:rPr>
            </w:pPr>
          </w:p>
        </w:tc>
      </w:tr>
      <w:tr>
        <w:trPr>
          <w:trHeight w:val="302" w:hRule="atLeast"/>
        </w:trPr>
        <w:tc>
          <w:tcPr>
            <w:tcW w:w="657" w:type="dxa"/>
            <w:tcBorders>
              <w:top w:val="nil"/>
              <w:bottom w:val="nil"/>
            </w:tcBorders>
            <w:vAlign w:val="top"/>
          </w:tcPr>
          <w:p>
            <w:pPr>
              <w:pStyle w:val="7"/>
              <w:rPr>
                <w:rFonts w:ascii="Times New Roman"/>
                <w:sz w:val="20"/>
              </w:rPr>
            </w:pPr>
          </w:p>
        </w:tc>
        <w:tc>
          <w:tcPr>
            <w:tcW w:w="656" w:type="dxa"/>
            <w:vMerge w:val="continue"/>
            <w:tcBorders>
              <w:top w:val="nil"/>
            </w:tcBorders>
            <w:textDirection w:val="tbRl"/>
            <w:vAlign w:val="top"/>
          </w:tcPr>
          <w:p>
            <w:pPr>
              <w:rPr>
                <w:sz w:val="2"/>
                <w:szCs w:val="2"/>
              </w:rPr>
            </w:pPr>
          </w:p>
        </w:tc>
        <w:tc>
          <w:tcPr>
            <w:tcW w:w="711" w:type="dxa"/>
            <w:tcBorders>
              <w:top w:val="nil"/>
              <w:bottom w:val="nil"/>
            </w:tcBorders>
            <w:vAlign w:val="top"/>
          </w:tcPr>
          <w:p>
            <w:pPr>
              <w:pStyle w:val="7"/>
              <w:rPr>
                <w:rFonts w:ascii="Times New Roman"/>
                <w:sz w:val="20"/>
              </w:rPr>
            </w:pPr>
          </w:p>
        </w:tc>
        <w:tc>
          <w:tcPr>
            <w:tcW w:w="2145" w:type="dxa"/>
            <w:tcBorders>
              <w:top w:val="nil"/>
              <w:bottom w:val="nil"/>
            </w:tcBorders>
            <w:vAlign w:val="top"/>
          </w:tcPr>
          <w:p>
            <w:pPr>
              <w:pStyle w:val="7"/>
              <w:rPr>
                <w:rFonts w:ascii="Times New Roman"/>
                <w:sz w:val="20"/>
              </w:rPr>
            </w:pPr>
          </w:p>
        </w:tc>
        <w:tc>
          <w:tcPr>
            <w:tcW w:w="7306" w:type="dxa"/>
            <w:tcBorders>
              <w:top w:val="nil"/>
              <w:bottom w:val="nil"/>
            </w:tcBorders>
            <w:vAlign w:val="top"/>
          </w:tcPr>
          <w:p>
            <w:pPr>
              <w:pStyle w:val="7"/>
              <w:tabs>
                <w:tab w:val="left" w:pos="1586"/>
              </w:tabs>
              <w:spacing w:before="16" w:line="266" w:lineRule="exact"/>
              <w:ind w:right="98"/>
              <w:jc w:val="right"/>
              <w:rPr>
                <w:sz w:val="21"/>
              </w:rPr>
            </w:pPr>
            <w:r>
              <w:rPr>
                <w:sz w:val="21"/>
              </w:rPr>
              <w:t>第</w:t>
            </w:r>
            <w:r>
              <w:rPr>
                <w:spacing w:val="-51"/>
                <w:sz w:val="21"/>
              </w:rPr>
              <w:t xml:space="preserve"> </w:t>
            </w:r>
            <w:r>
              <w:rPr>
                <w:sz w:val="21"/>
              </w:rPr>
              <w:t>15</w:t>
            </w:r>
            <w:r>
              <w:rPr>
                <w:spacing w:val="-52"/>
                <w:sz w:val="21"/>
              </w:rPr>
              <w:t xml:space="preserve"> </w:t>
            </w:r>
            <w:r>
              <w:rPr>
                <w:sz w:val="21"/>
              </w:rPr>
              <w:t>条</w:t>
            </w:r>
            <w:r>
              <w:rPr>
                <w:spacing w:val="4"/>
                <w:sz w:val="21"/>
              </w:rPr>
              <w:t>第</w:t>
            </w:r>
            <w:r>
              <w:rPr>
                <w:sz w:val="21"/>
              </w:rPr>
              <w:t>一款</w:t>
            </w:r>
            <w:r>
              <w:rPr>
                <w:sz w:val="21"/>
              </w:rPr>
              <w:tab/>
            </w:r>
            <w:r>
              <w:rPr>
                <w:sz w:val="21"/>
              </w:rPr>
              <w:t>对</w:t>
            </w:r>
            <w:r>
              <w:rPr>
                <w:spacing w:val="4"/>
                <w:sz w:val="21"/>
              </w:rPr>
              <w:t>于</w:t>
            </w:r>
            <w:r>
              <w:rPr>
                <w:sz w:val="21"/>
              </w:rPr>
              <w:t>一般事</w:t>
            </w:r>
            <w:r>
              <w:rPr>
                <w:spacing w:val="4"/>
                <w:sz w:val="21"/>
              </w:rPr>
              <w:t>故</w:t>
            </w:r>
            <w:r>
              <w:rPr>
                <w:sz w:val="21"/>
              </w:rPr>
              <w:t>隐患，</w:t>
            </w:r>
            <w:r>
              <w:rPr>
                <w:spacing w:val="4"/>
                <w:sz w:val="21"/>
              </w:rPr>
              <w:t>由</w:t>
            </w:r>
            <w:r>
              <w:rPr>
                <w:sz w:val="21"/>
              </w:rPr>
              <w:t>生产</w:t>
            </w:r>
            <w:r>
              <w:rPr>
                <w:spacing w:val="4"/>
                <w:sz w:val="21"/>
              </w:rPr>
              <w:t>经</w:t>
            </w:r>
            <w:r>
              <w:rPr>
                <w:sz w:val="21"/>
              </w:rPr>
              <w:t>营单位</w:t>
            </w:r>
            <w:r>
              <w:rPr>
                <w:spacing w:val="4"/>
                <w:sz w:val="21"/>
              </w:rPr>
              <w:t>（</w:t>
            </w:r>
            <w:r>
              <w:rPr>
                <w:sz w:val="21"/>
              </w:rPr>
              <w:t>车间</w:t>
            </w:r>
            <w:r>
              <w:rPr>
                <w:spacing w:val="4"/>
                <w:sz w:val="21"/>
              </w:rPr>
              <w:t>、</w:t>
            </w:r>
            <w:r>
              <w:rPr>
                <w:sz w:val="21"/>
              </w:rPr>
              <w:t>分厂、区</w:t>
            </w:r>
          </w:p>
        </w:tc>
        <w:tc>
          <w:tcPr>
            <w:tcW w:w="2969" w:type="dxa"/>
            <w:vMerge w:val="continue"/>
            <w:tcBorders>
              <w:top w:val="nil"/>
            </w:tcBorders>
            <w:vAlign w:val="top"/>
          </w:tcPr>
          <w:p>
            <w:pPr>
              <w:rPr>
                <w:sz w:val="2"/>
                <w:szCs w:val="2"/>
              </w:rPr>
            </w:pPr>
          </w:p>
        </w:tc>
        <w:tc>
          <w:tcPr>
            <w:tcW w:w="774" w:type="dxa"/>
            <w:vMerge w:val="continue"/>
            <w:tcBorders>
              <w:top w:val="nil"/>
            </w:tcBorders>
            <w:vAlign w:val="top"/>
          </w:tcPr>
          <w:p>
            <w:pPr>
              <w:rPr>
                <w:sz w:val="2"/>
                <w:szCs w:val="2"/>
              </w:rPr>
            </w:pPr>
          </w:p>
        </w:tc>
      </w:tr>
      <w:tr>
        <w:trPr>
          <w:trHeight w:val="1990" w:hRule="atLeast"/>
        </w:trPr>
        <w:tc>
          <w:tcPr>
            <w:tcW w:w="657" w:type="dxa"/>
            <w:tcBorders>
              <w:top w:val="nil"/>
            </w:tcBorders>
            <w:vAlign w:val="top"/>
          </w:tcPr>
          <w:p>
            <w:pPr>
              <w:pStyle w:val="7"/>
              <w:spacing w:before="10"/>
              <w:rPr>
                <w:rFonts w:ascii="Times New Roman"/>
                <w:sz w:val="23"/>
              </w:rPr>
            </w:pPr>
          </w:p>
          <w:p>
            <w:pPr>
              <w:pStyle w:val="7"/>
              <w:spacing w:before="1"/>
              <w:ind w:left="96" w:right="90"/>
              <w:jc w:val="center"/>
              <w:rPr>
                <w:sz w:val="21"/>
              </w:rPr>
            </w:pPr>
            <w:r>
              <w:rPr>
                <w:sz w:val="21"/>
              </w:rPr>
              <w:t>33</w:t>
            </w:r>
          </w:p>
        </w:tc>
        <w:tc>
          <w:tcPr>
            <w:tcW w:w="656" w:type="dxa"/>
            <w:vMerge w:val="continue"/>
            <w:tcBorders>
              <w:top w:val="nil"/>
            </w:tcBorders>
            <w:textDirection w:val="tbRl"/>
            <w:vAlign w:val="top"/>
          </w:tcPr>
          <w:p>
            <w:pPr>
              <w:rPr>
                <w:sz w:val="2"/>
                <w:szCs w:val="2"/>
              </w:rPr>
            </w:pPr>
          </w:p>
        </w:tc>
        <w:tc>
          <w:tcPr>
            <w:tcW w:w="711" w:type="dxa"/>
            <w:tcBorders>
              <w:top w:val="nil"/>
            </w:tcBorders>
            <w:vAlign w:val="top"/>
          </w:tcPr>
          <w:p>
            <w:pPr>
              <w:pStyle w:val="7"/>
              <w:rPr>
                <w:rFonts w:ascii="Times New Roman"/>
                <w:sz w:val="20"/>
              </w:rPr>
            </w:pPr>
          </w:p>
        </w:tc>
        <w:tc>
          <w:tcPr>
            <w:tcW w:w="2145" w:type="dxa"/>
            <w:tcBorders>
              <w:top w:val="nil"/>
            </w:tcBorders>
            <w:vAlign w:val="top"/>
          </w:tcPr>
          <w:p>
            <w:pPr>
              <w:pStyle w:val="7"/>
              <w:spacing w:before="119" w:line="278" w:lineRule="auto"/>
              <w:ind w:left="108" w:right="97"/>
              <w:rPr>
                <w:sz w:val="21"/>
              </w:rPr>
            </w:pPr>
            <w:r>
              <w:rPr>
                <w:sz w:val="21"/>
              </w:rPr>
              <w:t>隐患整改后应按规定进行验收</w:t>
            </w:r>
          </w:p>
        </w:tc>
        <w:tc>
          <w:tcPr>
            <w:tcW w:w="7306" w:type="dxa"/>
            <w:tcBorders>
              <w:top w:val="nil"/>
            </w:tcBorders>
            <w:vAlign w:val="top"/>
          </w:tcPr>
          <w:p>
            <w:pPr>
              <w:pStyle w:val="7"/>
              <w:spacing w:before="16"/>
              <w:ind w:left="108"/>
              <w:rPr>
                <w:sz w:val="21"/>
              </w:rPr>
            </w:pPr>
            <w:r>
              <w:rPr>
                <w:sz w:val="21"/>
              </w:rPr>
              <w:t>队等）负责人或者有关人员立即组织整改。</w:t>
            </w:r>
          </w:p>
        </w:tc>
        <w:tc>
          <w:tcPr>
            <w:tcW w:w="2969" w:type="dxa"/>
            <w:vMerge w:val="continue"/>
            <w:tcBorders>
              <w:top w:val="nil"/>
            </w:tcBorders>
            <w:vAlign w:val="top"/>
          </w:tcPr>
          <w:p>
            <w:pPr>
              <w:rPr>
                <w:sz w:val="2"/>
                <w:szCs w:val="2"/>
              </w:rPr>
            </w:pPr>
          </w:p>
        </w:tc>
        <w:tc>
          <w:tcPr>
            <w:tcW w:w="774" w:type="dxa"/>
            <w:vMerge w:val="continue"/>
            <w:tcBorders>
              <w:top w:val="nil"/>
            </w:tcBorders>
            <w:vAlign w:val="top"/>
          </w:tcPr>
          <w:p>
            <w:pPr>
              <w:rPr>
                <w:sz w:val="2"/>
                <w:szCs w:val="2"/>
              </w:rPr>
            </w:pPr>
          </w:p>
        </w:tc>
      </w:tr>
    </w:tbl>
    <w:p>
      <w:pPr>
        <w:spacing w:after="0"/>
        <w:rPr>
          <w:sz w:val="2"/>
          <w:szCs w:val="2"/>
        </w:rPr>
        <w:sectPr>
          <w:pgSz w:w="16840" w:h="11910" w:orient="landscape"/>
          <w:pgMar w:top="1100" w:right="700" w:bottom="1100" w:left="700" w:header="0" w:footer="907"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W w:w="15218"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7"/>
        <w:gridCol w:w="656"/>
        <w:gridCol w:w="711"/>
        <w:gridCol w:w="2145"/>
        <w:gridCol w:w="7306"/>
        <w:gridCol w:w="2969"/>
        <w:gridCol w:w="774"/>
      </w:tblGrid>
      <w:tr>
        <w:trPr>
          <w:trHeight w:val="523" w:hRule="atLeast"/>
        </w:trPr>
        <w:tc>
          <w:tcPr>
            <w:tcW w:w="657" w:type="dxa"/>
            <w:vAlign w:val="top"/>
          </w:tcPr>
          <w:p>
            <w:pPr>
              <w:pStyle w:val="7"/>
              <w:spacing w:before="127"/>
              <w:ind w:left="97" w:right="90"/>
              <w:jc w:val="center"/>
              <w:rPr>
                <w:rFonts w:hint="eastAsia" w:ascii="黑体" w:eastAsia="黑体"/>
                <w:sz w:val="21"/>
              </w:rPr>
            </w:pPr>
            <w:r>
              <w:rPr>
                <w:rFonts w:hint="eastAsia" w:ascii="黑体" w:eastAsia="黑体"/>
                <w:sz w:val="21"/>
              </w:rPr>
              <w:t>序号</w:t>
            </w:r>
          </w:p>
        </w:tc>
        <w:tc>
          <w:tcPr>
            <w:tcW w:w="656" w:type="dxa"/>
            <w:vAlign w:val="top"/>
          </w:tcPr>
          <w:p>
            <w:pPr>
              <w:pStyle w:val="7"/>
              <w:spacing w:before="127"/>
              <w:ind w:left="116"/>
              <w:rPr>
                <w:rFonts w:hint="eastAsia" w:ascii="黑体" w:eastAsia="黑体"/>
                <w:sz w:val="21"/>
              </w:rPr>
            </w:pPr>
            <w:r>
              <w:rPr>
                <w:rFonts w:hint="eastAsia" w:ascii="黑体" w:eastAsia="黑体"/>
                <w:sz w:val="21"/>
              </w:rPr>
              <w:t>类别</w:t>
            </w:r>
          </w:p>
        </w:tc>
        <w:tc>
          <w:tcPr>
            <w:tcW w:w="711" w:type="dxa"/>
            <w:vAlign w:val="top"/>
          </w:tcPr>
          <w:p>
            <w:pPr>
              <w:pStyle w:val="7"/>
              <w:spacing w:before="127"/>
              <w:ind w:left="144"/>
              <w:rPr>
                <w:rFonts w:hint="eastAsia" w:ascii="黑体" w:eastAsia="黑体"/>
                <w:sz w:val="21"/>
              </w:rPr>
            </w:pPr>
            <w:r>
              <w:rPr>
                <w:rFonts w:hint="eastAsia" w:ascii="黑体" w:eastAsia="黑体"/>
                <w:sz w:val="21"/>
              </w:rPr>
              <w:t>项目</w:t>
            </w:r>
          </w:p>
        </w:tc>
        <w:tc>
          <w:tcPr>
            <w:tcW w:w="2145" w:type="dxa"/>
            <w:vAlign w:val="top"/>
          </w:tcPr>
          <w:p>
            <w:pPr>
              <w:pStyle w:val="7"/>
              <w:spacing w:before="127"/>
              <w:ind w:left="650"/>
              <w:rPr>
                <w:rFonts w:hint="eastAsia" w:ascii="黑体" w:eastAsia="黑体"/>
                <w:sz w:val="21"/>
              </w:rPr>
            </w:pPr>
            <w:r>
              <w:rPr>
                <w:rFonts w:hint="eastAsia" w:ascii="黑体" w:eastAsia="黑体"/>
                <w:sz w:val="21"/>
              </w:rPr>
              <w:t>检查内容</w:t>
            </w:r>
          </w:p>
        </w:tc>
        <w:tc>
          <w:tcPr>
            <w:tcW w:w="7306" w:type="dxa"/>
            <w:vAlign w:val="top"/>
          </w:tcPr>
          <w:p>
            <w:pPr>
              <w:pStyle w:val="7"/>
              <w:spacing w:before="127"/>
              <w:ind w:left="3212" w:right="3204"/>
              <w:jc w:val="center"/>
              <w:rPr>
                <w:rFonts w:hint="eastAsia" w:ascii="黑体" w:eastAsia="黑体"/>
                <w:sz w:val="21"/>
              </w:rPr>
            </w:pPr>
            <w:r>
              <w:rPr>
                <w:rFonts w:hint="eastAsia" w:ascii="黑体" w:eastAsia="黑体"/>
                <w:sz w:val="21"/>
              </w:rPr>
              <w:t>检查依据</w:t>
            </w:r>
          </w:p>
        </w:tc>
        <w:tc>
          <w:tcPr>
            <w:tcW w:w="2969" w:type="dxa"/>
            <w:vAlign w:val="top"/>
          </w:tcPr>
          <w:p>
            <w:pPr>
              <w:pStyle w:val="7"/>
              <w:spacing w:before="127"/>
              <w:ind w:left="537"/>
              <w:rPr>
                <w:rFonts w:hint="eastAsia" w:ascii="黑体" w:eastAsia="黑体"/>
                <w:sz w:val="21"/>
              </w:rPr>
            </w:pPr>
            <w:r>
              <w:rPr>
                <w:rFonts w:hint="eastAsia" w:ascii="黑体" w:eastAsia="黑体"/>
                <w:sz w:val="21"/>
              </w:rPr>
              <w:t>处罚依据和整改建议</w:t>
            </w:r>
          </w:p>
        </w:tc>
        <w:tc>
          <w:tcPr>
            <w:tcW w:w="774" w:type="dxa"/>
            <w:vAlign w:val="top"/>
          </w:tcPr>
          <w:p>
            <w:pPr>
              <w:pStyle w:val="7"/>
              <w:spacing w:before="127"/>
              <w:ind w:left="177"/>
              <w:rPr>
                <w:rFonts w:hint="eastAsia" w:ascii="黑体" w:eastAsia="黑体"/>
                <w:sz w:val="21"/>
              </w:rPr>
            </w:pPr>
            <w:r>
              <w:rPr>
                <w:rFonts w:hint="eastAsia" w:ascii="黑体" w:eastAsia="黑体"/>
                <w:sz w:val="21"/>
              </w:rPr>
              <w:t>备注</w:t>
            </w:r>
          </w:p>
        </w:tc>
      </w:tr>
      <w:tr>
        <w:trPr>
          <w:trHeight w:val="1630" w:hRule="atLeast"/>
        </w:trPr>
        <w:tc>
          <w:tcPr>
            <w:tcW w:w="657" w:type="dxa"/>
            <w:vAlign w:val="top"/>
          </w:tcPr>
          <w:p>
            <w:pPr>
              <w:pStyle w:val="7"/>
              <w:rPr>
                <w:rFonts w:ascii="Times New Roman"/>
                <w:sz w:val="20"/>
              </w:rPr>
            </w:pPr>
          </w:p>
          <w:p>
            <w:pPr>
              <w:pStyle w:val="7"/>
              <w:rPr>
                <w:rFonts w:ascii="Times New Roman"/>
                <w:sz w:val="20"/>
              </w:rPr>
            </w:pPr>
          </w:p>
          <w:p>
            <w:pPr>
              <w:pStyle w:val="7"/>
              <w:spacing w:before="2"/>
              <w:rPr>
                <w:rFonts w:ascii="Times New Roman"/>
                <w:sz w:val="19"/>
              </w:rPr>
            </w:pPr>
          </w:p>
          <w:p>
            <w:pPr>
              <w:pStyle w:val="7"/>
              <w:ind w:left="96" w:right="90"/>
              <w:jc w:val="center"/>
              <w:rPr>
                <w:sz w:val="21"/>
              </w:rPr>
            </w:pPr>
            <w:r>
              <w:rPr>
                <w:sz w:val="21"/>
              </w:rPr>
              <w:t>34</w:t>
            </w:r>
          </w:p>
        </w:tc>
        <w:tc>
          <w:tcPr>
            <w:tcW w:w="656" w:type="dxa"/>
            <w:vMerge w:val="restart"/>
            <w:textDirection w:val="tbRl"/>
            <w:vAlign w:val="top"/>
          </w:tcPr>
          <w:p>
            <w:pPr>
              <w:pStyle w:val="7"/>
              <w:spacing w:before="34"/>
              <w:ind w:left="1928" w:right="1918"/>
              <w:jc w:val="center"/>
              <w:rPr>
                <w:rFonts w:hint="eastAsia" w:ascii="微软雅黑" w:eastAsia="微软雅黑"/>
                <w:b/>
                <w:sz w:val="21"/>
              </w:rPr>
            </w:pPr>
            <w:r>
              <w:rPr>
                <w:rFonts w:hint="eastAsia" w:ascii="微软雅黑" w:eastAsia="微软雅黑"/>
                <w:b/>
                <w:sz w:val="21"/>
              </w:rPr>
              <w:t>责 任 明 确 的 隐 患 排 查 治 理 机 制</w:t>
            </w:r>
          </w:p>
        </w:tc>
        <w:tc>
          <w:tcPr>
            <w:tcW w:w="711" w:type="dxa"/>
            <w:vMerge w:val="restart"/>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7"/>
              <w:rPr>
                <w:rFonts w:ascii="Times New Roman"/>
                <w:sz w:val="21"/>
              </w:rPr>
            </w:pPr>
          </w:p>
          <w:p>
            <w:pPr>
              <w:pStyle w:val="7"/>
              <w:spacing w:before="1" w:line="278" w:lineRule="auto"/>
              <w:ind w:left="108" w:right="172"/>
              <w:jc w:val="both"/>
              <w:rPr>
                <w:sz w:val="21"/>
              </w:rPr>
            </w:pPr>
            <w:r>
              <w:rPr>
                <w:sz w:val="21"/>
              </w:rPr>
              <w:t>重大隐患治理</w:t>
            </w:r>
          </w:p>
        </w:tc>
        <w:tc>
          <w:tcPr>
            <w:tcW w:w="2145" w:type="dxa"/>
            <w:vAlign w:val="top"/>
          </w:tcPr>
          <w:p>
            <w:pPr>
              <w:pStyle w:val="7"/>
              <w:rPr>
                <w:rFonts w:ascii="Times New Roman"/>
                <w:sz w:val="20"/>
              </w:rPr>
            </w:pPr>
          </w:p>
          <w:p>
            <w:pPr>
              <w:pStyle w:val="7"/>
              <w:spacing w:before="7"/>
              <w:rPr>
                <w:rFonts w:ascii="Times New Roman"/>
                <w:sz w:val="25"/>
              </w:rPr>
            </w:pPr>
          </w:p>
          <w:p>
            <w:pPr>
              <w:pStyle w:val="7"/>
              <w:spacing w:line="278" w:lineRule="auto"/>
              <w:ind w:left="108" w:right="97"/>
              <w:rPr>
                <w:sz w:val="21"/>
              </w:rPr>
            </w:pPr>
            <w:r>
              <w:rPr>
                <w:sz w:val="21"/>
              </w:rPr>
              <w:t>应制定重大事故隐患治理方案</w:t>
            </w:r>
          </w:p>
        </w:tc>
        <w:tc>
          <w:tcPr>
            <w:tcW w:w="7306" w:type="dxa"/>
            <w:vMerge w:val="restart"/>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51" w:line="278" w:lineRule="auto"/>
              <w:ind w:left="108" w:right="95" w:firstLine="420"/>
              <w:jc w:val="both"/>
              <w:rPr>
                <w:sz w:val="21"/>
              </w:rPr>
            </w:pPr>
            <w:r>
              <w:rPr>
                <w:spacing w:val="-9"/>
                <w:sz w:val="21"/>
              </w:rPr>
              <w:t xml:space="preserve">《安法》第 </w:t>
            </w:r>
            <w:r>
              <w:rPr>
                <w:sz w:val="21"/>
              </w:rPr>
              <w:t>43</w:t>
            </w:r>
            <w:r>
              <w:rPr>
                <w:spacing w:val="-5"/>
                <w:sz w:val="21"/>
              </w:rPr>
              <w:t xml:space="preserve"> 条第二款 生产经营单位的安全生产管理人员在检查中发</w:t>
            </w:r>
            <w:r>
              <w:rPr>
                <w:spacing w:val="-9"/>
                <w:w w:val="95"/>
                <w:sz w:val="21"/>
              </w:rPr>
              <w:t xml:space="preserve">现重大事故隐患，依照前款规定向本单位有关负责人报告，有关负责人不及时  处理的，安全生产管理人员可以向主管的负有安全生产监督管理职责的部门报  </w:t>
            </w:r>
            <w:r>
              <w:rPr>
                <w:spacing w:val="-9"/>
                <w:sz w:val="21"/>
              </w:rPr>
              <w:t>告，接到报告的部门应当依法及时处理。</w:t>
            </w:r>
          </w:p>
          <w:p>
            <w:pPr>
              <w:pStyle w:val="7"/>
              <w:spacing w:line="278" w:lineRule="auto"/>
              <w:ind w:left="108" w:right="-15" w:firstLine="420"/>
              <w:rPr>
                <w:sz w:val="21"/>
              </w:rPr>
            </w:pPr>
            <w:r>
              <w:rPr>
                <w:spacing w:val="-15"/>
                <w:sz w:val="21"/>
              </w:rPr>
              <w:t xml:space="preserve">《条例》第 </w:t>
            </w:r>
            <w:r>
              <w:rPr>
                <w:sz w:val="21"/>
              </w:rPr>
              <w:t>24</w:t>
            </w:r>
            <w:r>
              <w:rPr>
                <w:spacing w:val="-28"/>
                <w:sz w:val="21"/>
              </w:rPr>
              <w:t xml:space="preserve"> 条第 </w:t>
            </w:r>
            <w:r>
              <w:rPr>
                <w:sz w:val="21"/>
              </w:rPr>
              <w:t>3</w:t>
            </w:r>
            <w:r>
              <w:rPr>
                <w:spacing w:val="-9"/>
                <w:sz w:val="21"/>
              </w:rPr>
              <w:t xml:space="preserve"> 款 生产经营单位在事故隐患治理过程中，应当采取</w:t>
            </w:r>
            <w:r>
              <w:rPr>
                <w:spacing w:val="-17"/>
                <w:w w:val="95"/>
                <w:sz w:val="21"/>
              </w:rPr>
              <w:t xml:space="preserve">必要的措施防止事故发生。无法保证安全的，应当从危险区域内撤出作业人员，  </w:t>
            </w:r>
            <w:r>
              <w:rPr>
                <w:spacing w:val="-17"/>
                <w:sz w:val="21"/>
              </w:rPr>
              <w:t>及时疏散可能危及的其他人员，暂时停产停业或者停止使用相关设施、设备和</w:t>
            </w:r>
            <w:r>
              <w:rPr>
                <w:spacing w:val="-10"/>
                <w:sz w:val="21"/>
              </w:rPr>
              <w:t>装置，并设置警示标志，必要时应当派员值守；对难以停产或者停止使用的相关设施、设备和装置，应当加强监护，防止事故发生。</w:t>
            </w:r>
          </w:p>
          <w:p>
            <w:pPr>
              <w:pStyle w:val="7"/>
              <w:spacing w:line="269" w:lineRule="exact"/>
              <w:ind w:left="528"/>
              <w:rPr>
                <w:sz w:val="21"/>
              </w:rPr>
            </w:pPr>
            <w:r>
              <w:rPr>
                <w:sz w:val="21"/>
              </w:rPr>
              <w:t>《办法》第 17 条、18 条；</w:t>
            </w:r>
          </w:p>
          <w:p>
            <w:pPr>
              <w:pStyle w:val="7"/>
              <w:spacing w:before="43"/>
              <w:ind w:left="528"/>
              <w:rPr>
                <w:sz w:val="21"/>
              </w:rPr>
            </w:pPr>
            <w:r>
              <w:rPr>
                <w:sz w:val="21"/>
              </w:rPr>
              <w:t>《安全生产事故隐患排查治理暂行规定》第 15 条、第 16 条；</w:t>
            </w:r>
          </w:p>
        </w:tc>
        <w:tc>
          <w:tcPr>
            <w:tcW w:w="2969" w:type="dxa"/>
            <w:vAlign w:val="top"/>
          </w:tcPr>
          <w:p>
            <w:pPr>
              <w:pStyle w:val="7"/>
              <w:spacing w:before="5"/>
              <w:rPr>
                <w:rFonts w:ascii="Times New Roman"/>
                <w:sz w:val="18"/>
              </w:rPr>
            </w:pPr>
          </w:p>
          <w:p>
            <w:pPr>
              <w:pStyle w:val="7"/>
              <w:spacing w:before="1" w:line="278" w:lineRule="auto"/>
              <w:ind w:left="108" w:right="95" w:firstLine="314"/>
              <w:jc w:val="both"/>
              <w:rPr>
                <w:sz w:val="21"/>
              </w:rPr>
            </w:pPr>
            <w:r>
              <w:rPr>
                <w:sz w:val="21"/>
              </w:rPr>
              <w:t>《安全生产事故隐患排查治理暂行规定》第二十六条第三项的规定：给予警告，并处三万元以下的罚款。</w:t>
            </w:r>
          </w:p>
        </w:tc>
        <w:tc>
          <w:tcPr>
            <w:tcW w:w="774" w:type="dxa"/>
            <w:vAlign w:val="top"/>
          </w:tcPr>
          <w:p>
            <w:pPr>
              <w:pStyle w:val="7"/>
              <w:rPr>
                <w:rFonts w:ascii="Times New Roman"/>
                <w:sz w:val="20"/>
              </w:rPr>
            </w:pPr>
          </w:p>
        </w:tc>
      </w:tr>
      <w:tr>
        <w:trPr>
          <w:trHeight w:val="2808" w:hRule="atLeast"/>
        </w:trPr>
        <w:tc>
          <w:tcPr>
            <w:tcW w:w="657"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18"/>
              <w:ind w:left="96" w:right="90"/>
              <w:jc w:val="center"/>
              <w:rPr>
                <w:sz w:val="21"/>
              </w:rPr>
            </w:pPr>
            <w:r>
              <w:rPr>
                <w:sz w:val="21"/>
              </w:rPr>
              <w:t>35</w:t>
            </w:r>
          </w:p>
        </w:tc>
        <w:tc>
          <w:tcPr>
            <w:tcW w:w="656" w:type="dxa"/>
            <w:vMerge w:val="continue"/>
            <w:tcBorders>
              <w:top w:val="nil"/>
            </w:tcBorders>
            <w:textDirection w:val="tbRl"/>
            <w:vAlign w:val="top"/>
          </w:tcPr>
          <w:p>
            <w:pPr>
              <w:rPr>
                <w:sz w:val="2"/>
                <w:szCs w:val="2"/>
              </w:rPr>
            </w:pPr>
          </w:p>
        </w:tc>
        <w:tc>
          <w:tcPr>
            <w:tcW w:w="711" w:type="dxa"/>
            <w:vMerge w:val="continue"/>
            <w:tcBorders>
              <w:top w:val="nil"/>
            </w:tcBorders>
            <w:vAlign w:val="top"/>
          </w:tcPr>
          <w:p>
            <w:pPr>
              <w:rPr>
                <w:sz w:val="2"/>
                <w:szCs w:val="2"/>
              </w:rPr>
            </w:pPr>
          </w:p>
        </w:tc>
        <w:tc>
          <w:tcPr>
            <w:tcW w:w="2145"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8"/>
              <w:rPr>
                <w:rFonts w:ascii="Times New Roman"/>
                <w:sz w:val="16"/>
              </w:rPr>
            </w:pPr>
          </w:p>
          <w:p>
            <w:pPr>
              <w:pStyle w:val="7"/>
              <w:spacing w:line="278" w:lineRule="auto"/>
              <w:ind w:left="108" w:right="97"/>
              <w:rPr>
                <w:sz w:val="21"/>
              </w:rPr>
            </w:pPr>
            <w:r>
              <w:rPr>
                <w:sz w:val="21"/>
              </w:rPr>
              <w:t>隐患治理前应制定并落实安全措施</w:t>
            </w:r>
          </w:p>
        </w:tc>
        <w:tc>
          <w:tcPr>
            <w:tcW w:w="7306" w:type="dxa"/>
            <w:vMerge w:val="continue"/>
            <w:tcBorders>
              <w:top w:val="nil"/>
            </w:tcBorders>
            <w:vAlign w:val="top"/>
          </w:tcPr>
          <w:p>
            <w:pPr>
              <w:rPr>
                <w:sz w:val="2"/>
                <w:szCs w:val="2"/>
              </w:rPr>
            </w:pPr>
          </w:p>
        </w:tc>
        <w:tc>
          <w:tcPr>
            <w:tcW w:w="2969" w:type="dxa"/>
            <w:vAlign w:val="top"/>
          </w:tcPr>
          <w:p>
            <w:pPr>
              <w:pStyle w:val="7"/>
              <w:spacing w:before="20" w:line="278" w:lineRule="auto"/>
              <w:ind w:left="108" w:right="95" w:firstLine="420"/>
              <w:jc w:val="both"/>
              <w:rPr>
                <w:sz w:val="21"/>
              </w:rPr>
            </w:pPr>
            <w:r>
              <w:rPr>
                <w:spacing w:val="-16"/>
                <w:sz w:val="21"/>
              </w:rPr>
              <w:t xml:space="preserve">《办法》第 </w:t>
            </w:r>
            <w:r>
              <w:rPr>
                <w:sz w:val="21"/>
              </w:rPr>
              <w:t>29</w:t>
            </w:r>
            <w:r>
              <w:rPr>
                <w:spacing w:val="2"/>
                <w:sz w:val="21"/>
              </w:rPr>
              <w:t xml:space="preserve"> 条 </w:t>
            </w:r>
            <w:r>
              <w:rPr>
                <w:sz w:val="21"/>
              </w:rPr>
              <w:t>（</w:t>
            </w:r>
            <w:r>
              <w:rPr>
                <w:spacing w:val="-7"/>
                <w:sz w:val="21"/>
              </w:rPr>
              <w:t>未实</w:t>
            </w:r>
            <w:r>
              <w:rPr>
                <w:sz w:val="21"/>
              </w:rPr>
              <w:t>事故隐患治理制度的）</w:t>
            </w:r>
            <w:r>
              <w:rPr>
                <w:spacing w:val="-3"/>
                <w:sz w:val="21"/>
              </w:rPr>
              <w:t>责令限</w:t>
            </w:r>
            <w:r>
              <w:rPr>
                <w:spacing w:val="-1"/>
                <w:sz w:val="21"/>
              </w:rPr>
              <w:t>期改正，可以处一万元以上十万元以下的罚款；逾期未改正的，处十万元以上二十万元以下的罚款，对其直接负责的主管人员和其他直接责任人员处</w:t>
            </w:r>
            <w:r>
              <w:rPr>
                <w:spacing w:val="18"/>
                <w:sz w:val="21"/>
              </w:rPr>
              <w:t>二万元以上五万元以下的罚</w:t>
            </w:r>
          </w:p>
          <w:p>
            <w:pPr>
              <w:pStyle w:val="7"/>
              <w:spacing w:line="268" w:lineRule="exact"/>
              <w:ind w:left="108"/>
              <w:rPr>
                <w:sz w:val="21"/>
              </w:rPr>
            </w:pPr>
            <w:r>
              <w:rPr>
                <w:sz w:val="21"/>
              </w:rPr>
              <w:t>款…</w:t>
            </w:r>
          </w:p>
        </w:tc>
        <w:tc>
          <w:tcPr>
            <w:tcW w:w="774" w:type="dxa"/>
            <w:vAlign w:val="top"/>
          </w:tcPr>
          <w:p>
            <w:pPr>
              <w:pStyle w:val="7"/>
              <w:rPr>
                <w:rFonts w:ascii="Times New Roman"/>
                <w:sz w:val="20"/>
              </w:rPr>
            </w:pPr>
          </w:p>
        </w:tc>
      </w:tr>
      <w:tr>
        <w:trPr>
          <w:trHeight w:val="2910" w:hRule="atLeast"/>
        </w:trPr>
        <w:tc>
          <w:tcPr>
            <w:tcW w:w="657"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70"/>
              <w:ind w:left="96" w:right="90"/>
              <w:jc w:val="center"/>
              <w:rPr>
                <w:sz w:val="21"/>
              </w:rPr>
            </w:pPr>
            <w:r>
              <w:rPr>
                <w:sz w:val="21"/>
              </w:rPr>
              <w:t>36</w:t>
            </w:r>
          </w:p>
        </w:tc>
        <w:tc>
          <w:tcPr>
            <w:tcW w:w="656" w:type="dxa"/>
            <w:vMerge w:val="continue"/>
            <w:tcBorders>
              <w:top w:val="nil"/>
            </w:tcBorders>
            <w:textDirection w:val="tbRl"/>
            <w:vAlign w:val="top"/>
          </w:tcPr>
          <w:p>
            <w:pPr>
              <w:rPr>
                <w:sz w:val="2"/>
                <w:szCs w:val="2"/>
              </w:rPr>
            </w:pPr>
          </w:p>
        </w:tc>
        <w:tc>
          <w:tcPr>
            <w:tcW w:w="711" w:type="dxa"/>
            <w:vMerge w:val="continue"/>
            <w:tcBorders>
              <w:top w:val="nil"/>
            </w:tcBorders>
            <w:vAlign w:val="top"/>
          </w:tcPr>
          <w:p>
            <w:pPr>
              <w:rPr>
                <w:sz w:val="2"/>
                <w:szCs w:val="2"/>
              </w:rPr>
            </w:pPr>
          </w:p>
        </w:tc>
        <w:tc>
          <w:tcPr>
            <w:tcW w:w="2145"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2"/>
              <w:rPr>
                <w:rFonts w:ascii="Times New Roman"/>
                <w:sz w:val="21"/>
              </w:rPr>
            </w:pPr>
          </w:p>
          <w:p>
            <w:pPr>
              <w:pStyle w:val="7"/>
              <w:spacing w:before="1" w:line="278" w:lineRule="auto"/>
              <w:ind w:left="108" w:right="97"/>
              <w:rPr>
                <w:sz w:val="21"/>
              </w:rPr>
            </w:pPr>
            <w:r>
              <w:rPr>
                <w:sz w:val="21"/>
              </w:rPr>
              <w:t>按照治理期限要求完成重大事故隐患治理</w:t>
            </w:r>
          </w:p>
        </w:tc>
        <w:tc>
          <w:tcPr>
            <w:tcW w:w="7306" w:type="dxa"/>
            <w:vMerge w:val="continue"/>
            <w:tcBorders>
              <w:top w:val="nil"/>
            </w:tcBorders>
            <w:vAlign w:val="top"/>
          </w:tcPr>
          <w:p>
            <w:pPr>
              <w:rPr>
                <w:sz w:val="2"/>
                <w:szCs w:val="2"/>
              </w:rPr>
            </w:pPr>
          </w:p>
        </w:tc>
        <w:tc>
          <w:tcPr>
            <w:tcW w:w="2969" w:type="dxa"/>
            <w:vAlign w:val="top"/>
          </w:tcPr>
          <w:p>
            <w:pPr>
              <w:pStyle w:val="7"/>
              <w:spacing w:before="9"/>
              <w:rPr>
                <w:rFonts w:ascii="Times New Roman"/>
                <w:sz w:val="19"/>
              </w:rPr>
            </w:pPr>
          </w:p>
          <w:p>
            <w:pPr>
              <w:pStyle w:val="7"/>
              <w:spacing w:before="1" w:line="278" w:lineRule="auto"/>
              <w:ind w:left="108" w:right="95" w:firstLine="420"/>
              <w:jc w:val="both"/>
              <w:rPr>
                <w:sz w:val="21"/>
              </w:rPr>
            </w:pPr>
            <w:r>
              <w:rPr>
                <w:spacing w:val="-9"/>
                <w:sz w:val="21"/>
              </w:rPr>
              <w:t xml:space="preserve">《安法》第 </w:t>
            </w:r>
            <w:r>
              <w:rPr>
                <w:sz w:val="21"/>
              </w:rPr>
              <w:t>99</w:t>
            </w:r>
            <w:r>
              <w:rPr>
                <w:spacing w:val="-10"/>
                <w:sz w:val="21"/>
              </w:rPr>
              <w:t xml:space="preserve"> 条 责令立</w:t>
            </w:r>
            <w:r>
              <w:rPr>
                <w:spacing w:val="-1"/>
                <w:sz w:val="21"/>
              </w:rPr>
              <w:t>即消除或者限期消除；生产经营单位拒不执行的，责令停产停业整顿，并处十万元以上五十万元以下的罚款，对其直接负责的主管人员和其他直接责任人员处二万元以上五万元以</w:t>
            </w:r>
            <w:r>
              <w:rPr>
                <w:sz w:val="21"/>
              </w:rPr>
              <w:t>下的罚款。</w:t>
            </w:r>
          </w:p>
        </w:tc>
        <w:tc>
          <w:tcPr>
            <w:tcW w:w="774" w:type="dxa"/>
            <w:vAlign w:val="top"/>
          </w:tcPr>
          <w:p>
            <w:pPr>
              <w:pStyle w:val="7"/>
              <w:rPr>
                <w:rFonts w:ascii="Times New Roman"/>
                <w:sz w:val="20"/>
              </w:rPr>
            </w:pPr>
          </w:p>
        </w:tc>
      </w:tr>
    </w:tbl>
    <w:p>
      <w:pPr>
        <w:spacing w:after="0"/>
        <w:rPr>
          <w:rFonts w:ascii="Times New Roman"/>
          <w:sz w:val="20"/>
        </w:rPr>
        <w:sectPr>
          <w:pgSz w:w="16840" w:h="11910" w:orient="landscape"/>
          <w:pgMar w:top="1100" w:right="700" w:bottom="1100" w:left="700" w:header="0" w:footer="907"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W w:w="15218"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7"/>
        <w:gridCol w:w="656"/>
        <w:gridCol w:w="711"/>
        <w:gridCol w:w="2145"/>
        <w:gridCol w:w="7306"/>
        <w:gridCol w:w="2969"/>
        <w:gridCol w:w="774"/>
      </w:tblGrid>
      <w:tr>
        <w:trPr>
          <w:trHeight w:val="523" w:hRule="atLeast"/>
        </w:trPr>
        <w:tc>
          <w:tcPr>
            <w:tcW w:w="657" w:type="dxa"/>
            <w:vAlign w:val="top"/>
          </w:tcPr>
          <w:p>
            <w:pPr>
              <w:pStyle w:val="7"/>
              <w:spacing w:before="127"/>
              <w:ind w:left="97" w:right="90"/>
              <w:jc w:val="center"/>
              <w:rPr>
                <w:rFonts w:hint="eastAsia" w:ascii="黑体" w:eastAsia="黑体"/>
                <w:sz w:val="21"/>
              </w:rPr>
            </w:pPr>
            <w:r>
              <w:rPr>
                <w:rFonts w:hint="eastAsia" w:ascii="黑体" w:eastAsia="黑体"/>
                <w:sz w:val="21"/>
              </w:rPr>
              <w:t>序号</w:t>
            </w:r>
          </w:p>
        </w:tc>
        <w:tc>
          <w:tcPr>
            <w:tcW w:w="656" w:type="dxa"/>
            <w:vAlign w:val="top"/>
          </w:tcPr>
          <w:p>
            <w:pPr>
              <w:pStyle w:val="7"/>
              <w:spacing w:before="127"/>
              <w:ind w:left="116"/>
              <w:rPr>
                <w:rFonts w:hint="eastAsia" w:ascii="黑体" w:eastAsia="黑体"/>
                <w:sz w:val="21"/>
              </w:rPr>
            </w:pPr>
            <w:r>
              <w:rPr>
                <w:rFonts w:hint="eastAsia" w:ascii="黑体" w:eastAsia="黑体"/>
                <w:sz w:val="21"/>
              </w:rPr>
              <w:t>类别</w:t>
            </w:r>
          </w:p>
        </w:tc>
        <w:tc>
          <w:tcPr>
            <w:tcW w:w="711" w:type="dxa"/>
            <w:vAlign w:val="top"/>
          </w:tcPr>
          <w:p>
            <w:pPr>
              <w:pStyle w:val="7"/>
              <w:spacing w:before="127"/>
              <w:ind w:left="144"/>
              <w:rPr>
                <w:rFonts w:hint="eastAsia" w:ascii="黑体" w:eastAsia="黑体"/>
                <w:sz w:val="21"/>
              </w:rPr>
            </w:pPr>
            <w:r>
              <w:rPr>
                <w:rFonts w:hint="eastAsia" w:ascii="黑体" w:eastAsia="黑体"/>
                <w:sz w:val="21"/>
              </w:rPr>
              <w:t>项目</w:t>
            </w:r>
          </w:p>
        </w:tc>
        <w:tc>
          <w:tcPr>
            <w:tcW w:w="2145" w:type="dxa"/>
            <w:vAlign w:val="top"/>
          </w:tcPr>
          <w:p>
            <w:pPr>
              <w:pStyle w:val="7"/>
              <w:spacing w:before="127"/>
              <w:ind w:left="650"/>
              <w:rPr>
                <w:rFonts w:hint="eastAsia" w:ascii="黑体" w:eastAsia="黑体"/>
                <w:sz w:val="21"/>
              </w:rPr>
            </w:pPr>
            <w:r>
              <w:rPr>
                <w:rFonts w:hint="eastAsia" w:ascii="黑体" w:eastAsia="黑体"/>
                <w:sz w:val="21"/>
              </w:rPr>
              <w:t>检查内容</w:t>
            </w:r>
          </w:p>
        </w:tc>
        <w:tc>
          <w:tcPr>
            <w:tcW w:w="7306" w:type="dxa"/>
            <w:vAlign w:val="top"/>
          </w:tcPr>
          <w:p>
            <w:pPr>
              <w:pStyle w:val="7"/>
              <w:spacing w:before="127"/>
              <w:ind w:left="3212" w:right="3204"/>
              <w:jc w:val="center"/>
              <w:rPr>
                <w:rFonts w:hint="eastAsia" w:ascii="黑体" w:eastAsia="黑体"/>
                <w:sz w:val="21"/>
              </w:rPr>
            </w:pPr>
            <w:r>
              <w:rPr>
                <w:rFonts w:hint="eastAsia" w:ascii="黑体" w:eastAsia="黑体"/>
                <w:sz w:val="21"/>
              </w:rPr>
              <w:t>检查依据</w:t>
            </w:r>
          </w:p>
        </w:tc>
        <w:tc>
          <w:tcPr>
            <w:tcW w:w="2969" w:type="dxa"/>
            <w:vAlign w:val="top"/>
          </w:tcPr>
          <w:p>
            <w:pPr>
              <w:pStyle w:val="7"/>
              <w:spacing w:before="127"/>
              <w:ind w:left="537"/>
              <w:rPr>
                <w:rFonts w:hint="eastAsia" w:ascii="黑体" w:eastAsia="黑体"/>
                <w:sz w:val="21"/>
              </w:rPr>
            </w:pPr>
            <w:r>
              <w:rPr>
                <w:rFonts w:hint="eastAsia" w:ascii="黑体" w:eastAsia="黑体"/>
                <w:sz w:val="21"/>
              </w:rPr>
              <w:t>处罚依据和整改建议</w:t>
            </w:r>
          </w:p>
        </w:tc>
        <w:tc>
          <w:tcPr>
            <w:tcW w:w="774" w:type="dxa"/>
            <w:vAlign w:val="top"/>
          </w:tcPr>
          <w:p>
            <w:pPr>
              <w:pStyle w:val="7"/>
              <w:spacing w:before="127"/>
              <w:ind w:left="177"/>
              <w:rPr>
                <w:rFonts w:hint="eastAsia" w:ascii="黑体" w:eastAsia="黑体"/>
                <w:sz w:val="21"/>
              </w:rPr>
            </w:pPr>
            <w:r>
              <w:rPr>
                <w:rFonts w:hint="eastAsia" w:ascii="黑体" w:eastAsia="黑体"/>
                <w:sz w:val="21"/>
              </w:rPr>
              <w:t>备注</w:t>
            </w:r>
          </w:p>
        </w:tc>
      </w:tr>
      <w:tr>
        <w:trPr>
          <w:trHeight w:val="4181" w:hRule="atLeast"/>
        </w:trPr>
        <w:tc>
          <w:tcPr>
            <w:tcW w:w="657"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15"/>
              <w:ind w:left="96" w:right="90"/>
              <w:jc w:val="center"/>
              <w:rPr>
                <w:sz w:val="21"/>
              </w:rPr>
            </w:pPr>
            <w:r>
              <w:rPr>
                <w:sz w:val="21"/>
              </w:rPr>
              <w:t>37</w:t>
            </w:r>
          </w:p>
        </w:tc>
        <w:tc>
          <w:tcPr>
            <w:tcW w:w="656" w:type="dxa"/>
            <w:vMerge w:val="restart"/>
            <w:textDirection w:val="tbRl"/>
            <w:vAlign w:val="top"/>
          </w:tcPr>
          <w:p>
            <w:pPr>
              <w:pStyle w:val="7"/>
              <w:spacing w:before="34"/>
              <w:ind w:left="1742" w:right="1733"/>
              <w:jc w:val="center"/>
              <w:rPr>
                <w:rFonts w:hint="eastAsia" w:ascii="微软雅黑" w:eastAsia="微软雅黑"/>
                <w:b/>
                <w:sz w:val="21"/>
              </w:rPr>
            </w:pPr>
            <w:r>
              <w:rPr>
                <w:rFonts w:hint="eastAsia" w:ascii="微软雅黑" w:eastAsia="微软雅黑"/>
                <w:b/>
                <w:sz w:val="21"/>
              </w:rPr>
              <w:t>责 任 明 确 的 隐 患 排 查 治 理 机 制</w:t>
            </w:r>
          </w:p>
        </w:tc>
        <w:tc>
          <w:tcPr>
            <w:tcW w:w="711"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0"/>
              <w:rPr>
                <w:rFonts w:ascii="Times New Roman"/>
                <w:sz w:val="22"/>
              </w:rPr>
            </w:pPr>
          </w:p>
          <w:p>
            <w:pPr>
              <w:pStyle w:val="7"/>
              <w:spacing w:line="278" w:lineRule="auto"/>
              <w:ind w:left="108" w:right="172"/>
              <w:jc w:val="both"/>
              <w:rPr>
                <w:sz w:val="21"/>
              </w:rPr>
            </w:pPr>
            <w:r>
              <w:rPr>
                <w:sz w:val="21"/>
              </w:rPr>
              <w:t>重大隐患治理</w:t>
            </w:r>
          </w:p>
        </w:tc>
        <w:tc>
          <w:tcPr>
            <w:tcW w:w="2145"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73" w:line="278" w:lineRule="auto"/>
              <w:ind w:left="108" w:right="97"/>
              <w:jc w:val="both"/>
              <w:rPr>
                <w:sz w:val="21"/>
              </w:rPr>
            </w:pPr>
            <w:r>
              <w:rPr>
                <w:sz w:val="21"/>
              </w:rPr>
              <w:t>重大事故隐患经治理后符合安全生产条件的，生产经营单位应当向负有安全监管职责的部门提出恢复生产的书面申请，经审查同意后，方可恢复生产经营。</w:t>
            </w:r>
          </w:p>
        </w:tc>
        <w:tc>
          <w:tcPr>
            <w:tcW w:w="7306" w:type="dxa"/>
            <w:vAlign w:val="top"/>
          </w:tcPr>
          <w:p>
            <w:pPr>
              <w:pStyle w:val="7"/>
              <w:rPr>
                <w:rFonts w:ascii="Times New Roman"/>
                <w:sz w:val="20"/>
              </w:rPr>
            </w:pPr>
          </w:p>
          <w:p>
            <w:pPr>
              <w:pStyle w:val="7"/>
              <w:rPr>
                <w:rFonts w:ascii="Times New Roman"/>
                <w:sz w:val="20"/>
              </w:rPr>
            </w:pPr>
          </w:p>
          <w:p>
            <w:pPr>
              <w:pStyle w:val="7"/>
              <w:spacing w:before="5"/>
              <w:rPr>
                <w:rFonts w:ascii="Times New Roman"/>
                <w:sz w:val="21"/>
              </w:rPr>
            </w:pPr>
          </w:p>
          <w:p>
            <w:pPr>
              <w:pStyle w:val="7"/>
              <w:spacing w:line="278" w:lineRule="auto"/>
              <w:ind w:left="108" w:right="95" w:firstLine="420"/>
              <w:jc w:val="both"/>
              <w:rPr>
                <w:sz w:val="21"/>
              </w:rPr>
            </w:pPr>
            <w:r>
              <w:rPr>
                <w:spacing w:val="-3"/>
                <w:sz w:val="21"/>
              </w:rPr>
              <w:t xml:space="preserve">《安全生产事故隐患排查治理暂行规定》第 </w:t>
            </w:r>
            <w:r>
              <w:rPr>
                <w:sz w:val="21"/>
              </w:rPr>
              <w:t>18</w:t>
            </w:r>
            <w:r>
              <w:rPr>
                <w:spacing w:val="-5"/>
                <w:sz w:val="21"/>
              </w:rPr>
              <w:t xml:space="preserve"> 条 地方人民政府或者安</w:t>
            </w:r>
            <w:r>
              <w:rPr>
                <w:spacing w:val="3"/>
                <w:w w:val="95"/>
                <w:sz w:val="21"/>
              </w:rPr>
              <w:t xml:space="preserve">全监管监察部门及有关部门挂牌督办并责令全部或者局部停产停业治理的重  </w:t>
            </w:r>
            <w:r>
              <w:rPr>
                <w:spacing w:val="-4"/>
                <w:w w:val="95"/>
                <w:sz w:val="21"/>
              </w:rPr>
              <w:t xml:space="preserve">大事故隐患，治理工作结束后，有条件的生产经营单位应当组织本单位的技术  </w:t>
            </w:r>
            <w:r>
              <w:rPr>
                <w:spacing w:val="-7"/>
                <w:w w:val="95"/>
                <w:sz w:val="21"/>
              </w:rPr>
              <w:t xml:space="preserve">人员和专家对重大事故隐患的治理情况进行评估；其他生产经营单位应当委托  </w:t>
            </w:r>
            <w:r>
              <w:rPr>
                <w:spacing w:val="-7"/>
                <w:sz w:val="21"/>
              </w:rPr>
              <w:t>具备相应资质的安全评价机构对重大事故隐患的治理情况进行评估。</w:t>
            </w:r>
          </w:p>
          <w:p>
            <w:pPr>
              <w:pStyle w:val="7"/>
              <w:spacing w:line="278" w:lineRule="auto"/>
              <w:ind w:left="108" w:right="97" w:firstLine="420"/>
              <w:jc w:val="both"/>
              <w:rPr>
                <w:sz w:val="21"/>
              </w:rPr>
            </w:pPr>
            <w:r>
              <w:rPr>
                <w:spacing w:val="-4"/>
                <w:w w:val="95"/>
                <w:sz w:val="21"/>
              </w:rPr>
              <w:t xml:space="preserve">经治理后符合安全生产条件的，生产经营单位应当向安全监管监察部门和  </w:t>
            </w:r>
            <w:r>
              <w:rPr>
                <w:spacing w:val="-7"/>
                <w:w w:val="95"/>
                <w:sz w:val="21"/>
              </w:rPr>
              <w:t xml:space="preserve">有关部门提出恢复生产的书面申请，经安全监管监察部门和有关部门审查同意  后，方可恢复生产经营。申请报告应当包括治理方案的内容、项目和安全评价  </w:t>
            </w:r>
            <w:r>
              <w:rPr>
                <w:spacing w:val="-7"/>
                <w:sz w:val="21"/>
              </w:rPr>
              <w:t>机构出具的评价报告等。</w:t>
            </w:r>
          </w:p>
        </w:tc>
        <w:tc>
          <w:tcPr>
            <w:tcW w:w="2969" w:type="dxa"/>
            <w:vAlign w:val="top"/>
          </w:tcPr>
          <w:p>
            <w:pPr>
              <w:pStyle w:val="7"/>
              <w:rPr>
                <w:rFonts w:ascii="Times New Roman"/>
                <w:sz w:val="20"/>
              </w:rPr>
            </w:pPr>
          </w:p>
          <w:p>
            <w:pPr>
              <w:pStyle w:val="7"/>
              <w:spacing w:before="10"/>
              <w:rPr>
                <w:rFonts w:ascii="Times New Roman"/>
                <w:sz w:val="27"/>
              </w:rPr>
            </w:pPr>
          </w:p>
          <w:p>
            <w:pPr>
              <w:pStyle w:val="7"/>
              <w:spacing w:line="278" w:lineRule="auto"/>
              <w:ind w:left="108" w:right="-15" w:firstLine="208"/>
              <w:rPr>
                <w:sz w:val="21"/>
              </w:rPr>
            </w:pPr>
            <w:r>
              <w:rPr>
                <w:sz w:val="21"/>
              </w:rPr>
              <w:t>生产经营单位对地方人民政府或者负有安全监管职责部门挂牌督办并责令全部或者局部</w:t>
            </w:r>
            <w:r>
              <w:rPr>
                <w:spacing w:val="19"/>
                <w:sz w:val="21"/>
              </w:rPr>
              <w:t>停产停业治理的重大事故隐</w:t>
            </w:r>
            <w:r>
              <w:rPr>
                <w:sz w:val="21"/>
              </w:rPr>
              <w:t>患，整改不合格或者未经安监部门审查同意擅自恢复生产经营的，依据《安全生产事故隐患排查治理暂行规定》第二十</w:t>
            </w:r>
            <w:r>
              <w:rPr>
                <w:spacing w:val="-9"/>
                <w:sz w:val="21"/>
              </w:rPr>
              <w:t xml:space="preserve">六条第六项的规定，给予警告， </w:t>
            </w:r>
            <w:r>
              <w:rPr>
                <w:spacing w:val="-25"/>
                <w:sz w:val="21"/>
              </w:rPr>
              <w:t xml:space="preserve">并处 </w:t>
            </w:r>
            <w:r>
              <w:rPr>
                <w:sz w:val="21"/>
              </w:rPr>
              <w:t>3</w:t>
            </w:r>
            <w:r>
              <w:rPr>
                <w:spacing w:val="-8"/>
                <w:sz w:val="21"/>
              </w:rPr>
              <w:t xml:space="preserve"> 万元以下的罚款。</w:t>
            </w:r>
          </w:p>
        </w:tc>
        <w:tc>
          <w:tcPr>
            <w:tcW w:w="774" w:type="dxa"/>
            <w:vAlign w:val="top"/>
          </w:tcPr>
          <w:p>
            <w:pPr>
              <w:pStyle w:val="7"/>
              <w:rPr>
                <w:rFonts w:ascii="Times New Roman"/>
                <w:sz w:val="20"/>
              </w:rPr>
            </w:pPr>
          </w:p>
        </w:tc>
      </w:tr>
      <w:tr>
        <w:trPr>
          <w:trHeight w:val="2806" w:hRule="atLeast"/>
        </w:trPr>
        <w:tc>
          <w:tcPr>
            <w:tcW w:w="657"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18"/>
              <w:ind w:left="96" w:right="90"/>
              <w:jc w:val="center"/>
              <w:rPr>
                <w:sz w:val="21"/>
              </w:rPr>
            </w:pPr>
            <w:r>
              <w:rPr>
                <w:sz w:val="21"/>
              </w:rPr>
              <w:t>38</w:t>
            </w:r>
          </w:p>
        </w:tc>
        <w:tc>
          <w:tcPr>
            <w:tcW w:w="656" w:type="dxa"/>
            <w:vMerge w:val="continue"/>
            <w:tcBorders>
              <w:top w:val="nil"/>
            </w:tcBorders>
            <w:textDirection w:val="tbRl"/>
            <w:vAlign w:val="top"/>
          </w:tcPr>
          <w:p>
            <w:pPr>
              <w:rPr>
                <w:sz w:val="2"/>
                <w:szCs w:val="2"/>
              </w:rPr>
            </w:pPr>
          </w:p>
        </w:tc>
        <w:tc>
          <w:tcPr>
            <w:tcW w:w="711"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
              <w:rPr>
                <w:rFonts w:ascii="Times New Roman"/>
                <w:sz w:val="23"/>
              </w:rPr>
            </w:pPr>
          </w:p>
          <w:p>
            <w:pPr>
              <w:pStyle w:val="7"/>
              <w:spacing w:line="278" w:lineRule="auto"/>
              <w:ind w:left="108" w:right="172"/>
              <w:jc w:val="both"/>
              <w:rPr>
                <w:sz w:val="21"/>
              </w:rPr>
            </w:pPr>
            <w:r>
              <w:rPr>
                <w:sz w:val="21"/>
              </w:rPr>
              <w:t>事故隐患报告</w:t>
            </w:r>
          </w:p>
        </w:tc>
        <w:tc>
          <w:tcPr>
            <w:tcW w:w="2145" w:type="dxa"/>
            <w:vAlign w:val="top"/>
          </w:tcPr>
          <w:p>
            <w:pPr>
              <w:pStyle w:val="7"/>
              <w:spacing w:before="10"/>
              <w:rPr>
                <w:rFonts w:ascii="Times New Roman"/>
                <w:sz w:val="28"/>
              </w:rPr>
            </w:pPr>
          </w:p>
          <w:p>
            <w:pPr>
              <w:pStyle w:val="7"/>
              <w:spacing w:line="278" w:lineRule="auto"/>
              <w:ind w:left="108" w:right="97"/>
              <w:jc w:val="both"/>
              <w:rPr>
                <w:sz w:val="21"/>
              </w:rPr>
            </w:pPr>
            <w:r>
              <w:rPr>
                <w:sz w:val="21"/>
              </w:rPr>
              <w:t>生产经营单位应当将重大事故隐患的治理方案和治理结果，向属地县（市、区）人民政府负有安全生产监督管理职责的部门报告。</w:t>
            </w:r>
          </w:p>
        </w:tc>
        <w:tc>
          <w:tcPr>
            <w:tcW w:w="7306" w:type="dxa"/>
            <w:vAlign w:val="top"/>
          </w:tcPr>
          <w:p>
            <w:pPr>
              <w:pStyle w:val="7"/>
              <w:spacing w:before="20"/>
              <w:ind w:left="528"/>
              <w:jc w:val="both"/>
              <w:rPr>
                <w:sz w:val="21"/>
              </w:rPr>
            </w:pPr>
            <w:r>
              <w:rPr>
                <w:sz w:val="21"/>
              </w:rPr>
              <w:t>《安法》第 38 条第一款；</w:t>
            </w:r>
          </w:p>
          <w:p>
            <w:pPr>
              <w:pStyle w:val="7"/>
              <w:spacing w:before="43" w:line="278" w:lineRule="auto"/>
              <w:ind w:left="108" w:right="47" w:firstLine="420"/>
              <w:jc w:val="both"/>
              <w:rPr>
                <w:sz w:val="21"/>
              </w:rPr>
            </w:pPr>
            <w:r>
              <w:rPr>
                <w:spacing w:val="-9"/>
                <w:sz w:val="21"/>
              </w:rPr>
              <w:t xml:space="preserve">《条例》第 </w:t>
            </w:r>
            <w:r>
              <w:rPr>
                <w:sz w:val="21"/>
              </w:rPr>
              <w:t>24</w:t>
            </w:r>
            <w:r>
              <w:rPr>
                <w:spacing w:val="-25"/>
                <w:sz w:val="21"/>
              </w:rPr>
              <w:t xml:space="preserve"> 条第 </w:t>
            </w:r>
            <w:r>
              <w:rPr>
                <w:sz w:val="21"/>
              </w:rPr>
              <w:t>2</w:t>
            </w:r>
            <w:r>
              <w:rPr>
                <w:spacing w:val="-20"/>
                <w:sz w:val="21"/>
              </w:rPr>
              <w:t xml:space="preserve"> 款、第 </w:t>
            </w:r>
            <w:r>
              <w:rPr>
                <w:sz w:val="21"/>
              </w:rPr>
              <w:t>4</w:t>
            </w:r>
            <w:r>
              <w:rPr>
                <w:spacing w:val="-5"/>
                <w:sz w:val="21"/>
              </w:rPr>
              <w:t xml:space="preserve"> 款 对于一般事故隐患，应当立即组织整</w:t>
            </w:r>
            <w:r>
              <w:rPr>
                <w:spacing w:val="-8"/>
                <w:sz w:val="21"/>
              </w:rPr>
              <w:t>改治理；对于重大事故隐患，应当及时制定治理方案并向县级以上人民政府负</w:t>
            </w:r>
            <w:r>
              <w:rPr>
                <w:spacing w:val="-8"/>
                <w:w w:val="95"/>
                <w:sz w:val="21"/>
              </w:rPr>
              <w:t xml:space="preserve">有安全生产监督管理职责的部门报告，根据治理方案采取相应措施予以消除，  </w:t>
            </w:r>
            <w:r>
              <w:rPr>
                <w:spacing w:val="-8"/>
                <w:sz w:val="21"/>
              </w:rPr>
              <w:t>治理完毕后应当组织验收。…</w:t>
            </w:r>
          </w:p>
          <w:p>
            <w:pPr>
              <w:pStyle w:val="7"/>
              <w:spacing w:line="278" w:lineRule="auto"/>
              <w:ind w:left="108" w:right="98" w:firstLine="314"/>
              <w:rPr>
                <w:sz w:val="21"/>
              </w:rPr>
            </w:pPr>
            <w:r>
              <w:rPr>
                <w:sz w:val="21"/>
              </w:rPr>
              <w:t>生产经营单位应当每月对事故隐患排查治理情况进行统计分析，向负有安全生产监督管理职责的部门报告，并向从业人员通报。</w:t>
            </w:r>
          </w:p>
          <w:p>
            <w:pPr>
              <w:pStyle w:val="7"/>
              <w:spacing w:line="269" w:lineRule="exact"/>
              <w:ind w:left="423"/>
              <w:rPr>
                <w:sz w:val="21"/>
              </w:rPr>
            </w:pPr>
            <w:r>
              <w:rPr>
                <w:sz w:val="21"/>
              </w:rPr>
              <w:t>《办法》第 13 条；</w:t>
            </w:r>
          </w:p>
          <w:p>
            <w:pPr>
              <w:pStyle w:val="7"/>
              <w:spacing w:before="42"/>
              <w:ind w:left="528"/>
              <w:rPr>
                <w:sz w:val="21"/>
              </w:rPr>
            </w:pPr>
            <w:r>
              <w:rPr>
                <w:sz w:val="21"/>
              </w:rPr>
              <w:t>《安全生产事故隐患排查治理暂行规定》第 14 条。</w:t>
            </w:r>
          </w:p>
        </w:tc>
        <w:tc>
          <w:tcPr>
            <w:tcW w:w="2969" w:type="dxa"/>
            <w:vAlign w:val="top"/>
          </w:tcPr>
          <w:p>
            <w:pPr>
              <w:pStyle w:val="7"/>
              <w:spacing w:before="20" w:line="278" w:lineRule="auto"/>
              <w:ind w:left="108" w:right="-15" w:firstLine="208"/>
              <w:jc w:val="both"/>
              <w:rPr>
                <w:sz w:val="21"/>
              </w:rPr>
            </w:pPr>
            <w:r>
              <w:rPr>
                <w:spacing w:val="-10"/>
                <w:sz w:val="21"/>
              </w:rPr>
              <w:t xml:space="preserve">《条例》第五十五条第八项： </w:t>
            </w:r>
            <w:r>
              <w:rPr>
                <w:spacing w:val="-6"/>
                <w:sz w:val="21"/>
              </w:rPr>
              <w:t xml:space="preserve">责令限期改正，可以处 </w:t>
            </w:r>
            <w:r>
              <w:rPr>
                <w:sz w:val="21"/>
              </w:rPr>
              <w:t>1</w:t>
            </w:r>
            <w:r>
              <w:rPr>
                <w:spacing w:val="-18"/>
                <w:sz w:val="21"/>
              </w:rPr>
              <w:t xml:space="preserve"> 万元</w:t>
            </w:r>
          </w:p>
          <w:p>
            <w:pPr>
              <w:pStyle w:val="7"/>
              <w:spacing w:line="278" w:lineRule="auto"/>
              <w:ind w:left="108" w:right="95"/>
              <w:jc w:val="both"/>
              <w:rPr>
                <w:sz w:val="21"/>
              </w:rPr>
            </w:pPr>
            <w:r>
              <w:rPr>
                <w:spacing w:val="-17"/>
                <w:sz w:val="21"/>
              </w:rPr>
              <w:t xml:space="preserve">以上 </w:t>
            </w:r>
            <w:r>
              <w:rPr>
                <w:sz w:val="21"/>
              </w:rPr>
              <w:t>5</w:t>
            </w:r>
            <w:r>
              <w:rPr>
                <w:spacing w:val="-7"/>
                <w:sz w:val="21"/>
              </w:rPr>
              <w:t xml:space="preserve"> 万元以下罚款；逾期未</w:t>
            </w:r>
            <w:r>
              <w:rPr>
                <w:spacing w:val="-1"/>
                <w:sz w:val="21"/>
              </w:rPr>
              <w:t xml:space="preserve">改正的，责令停产停业整顿， </w:t>
            </w:r>
            <w:r>
              <w:rPr>
                <w:spacing w:val="16"/>
                <w:sz w:val="21"/>
              </w:rPr>
              <w:t>并处</w:t>
            </w:r>
            <w:r>
              <w:rPr>
                <w:sz w:val="21"/>
              </w:rPr>
              <w:t>7</w:t>
            </w:r>
            <w:r>
              <w:rPr>
                <w:spacing w:val="-10"/>
                <w:sz w:val="21"/>
              </w:rPr>
              <w:t xml:space="preserve"> 万元以上</w:t>
            </w:r>
            <w:r>
              <w:rPr>
                <w:sz w:val="21"/>
              </w:rPr>
              <w:t>10</w:t>
            </w:r>
            <w:r>
              <w:rPr>
                <w:spacing w:val="-14"/>
                <w:sz w:val="21"/>
              </w:rPr>
              <w:t xml:space="preserve"> 万元以下罚</w:t>
            </w:r>
            <w:r>
              <w:rPr>
                <w:spacing w:val="-3"/>
                <w:sz w:val="21"/>
              </w:rPr>
              <w:t>款，对其主要负责人、直接负</w:t>
            </w:r>
            <w:r>
              <w:rPr>
                <w:spacing w:val="-1"/>
                <w:sz w:val="21"/>
              </w:rPr>
              <w:t>责的主管人员和其他直接责任</w:t>
            </w:r>
            <w:r>
              <w:rPr>
                <w:spacing w:val="-12"/>
                <w:sz w:val="21"/>
              </w:rPr>
              <w:t xml:space="preserve">人员处 </w:t>
            </w:r>
            <w:r>
              <w:rPr>
                <w:sz w:val="21"/>
              </w:rPr>
              <w:t>1.5</w:t>
            </w:r>
            <w:r>
              <w:rPr>
                <w:spacing w:val="-17"/>
                <w:sz w:val="21"/>
              </w:rPr>
              <w:t xml:space="preserve"> 万元以上 </w:t>
            </w:r>
            <w:r>
              <w:rPr>
                <w:sz w:val="21"/>
              </w:rPr>
              <w:t>2</w:t>
            </w:r>
            <w:r>
              <w:rPr>
                <w:spacing w:val="-16"/>
                <w:sz w:val="21"/>
              </w:rPr>
              <w:t xml:space="preserve"> 万元以</w:t>
            </w:r>
          </w:p>
          <w:p>
            <w:pPr>
              <w:pStyle w:val="7"/>
              <w:spacing w:line="268" w:lineRule="exact"/>
              <w:ind w:left="108"/>
              <w:rPr>
                <w:sz w:val="21"/>
              </w:rPr>
            </w:pPr>
            <w:r>
              <w:rPr>
                <w:sz w:val="21"/>
              </w:rPr>
              <w:t>下罚款。</w:t>
            </w:r>
          </w:p>
        </w:tc>
        <w:tc>
          <w:tcPr>
            <w:tcW w:w="774" w:type="dxa"/>
            <w:vAlign w:val="top"/>
          </w:tcPr>
          <w:p>
            <w:pPr>
              <w:pStyle w:val="7"/>
              <w:rPr>
                <w:rFonts w:ascii="Times New Roman"/>
                <w:sz w:val="20"/>
              </w:rPr>
            </w:pPr>
          </w:p>
        </w:tc>
      </w:tr>
    </w:tbl>
    <w:p>
      <w:pPr>
        <w:spacing w:after="0"/>
        <w:rPr>
          <w:rFonts w:ascii="Times New Roman"/>
          <w:sz w:val="20"/>
        </w:rPr>
        <w:sectPr>
          <w:pgSz w:w="16840" w:h="11910" w:orient="landscape"/>
          <w:pgMar w:top="1100" w:right="700" w:bottom="1100" w:left="700" w:header="0" w:footer="907"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W w:w="15218"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7"/>
        <w:gridCol w:w="656"/>
        <w:gridCol w:w="711"/>
        <w:gridCol w:w="2145"/>
        <w:gridCol w:w="7306"/>
        <w:gridCol w:w="2969"/>
        <w:gridCol w:w="774"/>
      </w:tblGrid>
      <w:tr>
        <w:trPr>
          <w:trHeight w:val="523" w:hRule="atLeast"/>
        </w:trPr>
        <w:tc>
          <w:tcPr>
            <w:tcW w:w="657" w:type="dxa"/>
            <w:vAlign w:val="top"/>
          </w:tcPr>
          <w:p>
            <w:pPr>
              <w:pStyle w:val="7"/>
              <w:spacing w:before="127"/>
              <w:ind w:left="97" w:right="90"/>
              <w:jc w:val="center"/>
              <w:rPr>
                <w:rFonts w:hint="eastAsia" w:ascii="黑体" w:eastAsia="黑体"/>
                <w:sz w:val="21"/>
              </w:rPr>
            </w:pPr>
            <w:r>
              <w:rPr>
                <w:rFonts w:hint="eastAsia" w:ascii="黑体" w:eastAsia="黑体"/>
                <w:sz w:val="21"/>
              </w:rPr>
              <w:t>序号</w:t>
            </w:r>
          </w:p>
        </w:tc>
        <w:tc>
          <w:tcPr>
            <w:tcW w:w="656" w:type="dxa"/>
            <w:vAlign w:val="top"/>
          </w:tcPr>
          <w:p>
            <w:pPr>
              <w:pStyle w:val="7"/>
              <w:spacing w:before="127"/>
              <w:ind w:left="116"/>
              <w:rPr>
                <w:rFonts w:hint="eastAsia" w:ascii="黑体" w:eastAsia="黑体"/>
                <w:sz w:val="21"/>
              </w:rPr>
            </w:pPr>
            <w:r>
              <w:rPr>
                <w:rFonts w:hint="eastAsia" w:ascii="黑体" w:eastAsia="黑体"/>
                <w:sz w:val="21"/>
              </w:rPr>
              <w:t>类别</w:t>
            </w:r>
          </w:p>
        </w:tc>
        <w:tc>
          <w:tcPr>
            <w:tcW w:w="711" w:type="dxa"/>
            <w:vAlign w:val="top"/>
          </w:tcPr>
          <w:p>
            <w:pPr>
              <w:pStyle w:val="7"/>
              <w:spacing w:before="127"/>
              <w:ind w:left="144"/>
              <w:rPr>
                <w:rFonts w:hint="eastAsia" w:ascii="黑体" w:eastAsia="黑体"/>
                <w:sz w:val="21"/>
              </w:rPr>
            </w:pPr>
            <w:r>
              <w:rPr>
                <w:rFonts w:hint="eastAsia" w:ascii="黑体" w:eastAsia="黑体"/>
                <w:sz w:val="21"/>
              </w:rPr>
              <w:t>项目</w:t>
            </w:r>
          </w:p>
        </w:tc>
        <w:tc>
          <w:tcPr>
            <w:tcW w:w="2145" w:type="dxa"/>
            <w:vAlign w:val="top"/>
          </w:tcPr>
          <w:p>
            <w:pPr>
              <w:pStyle w:val="7"/>
              <w:spacing w:before="127"/>
              <w:ind w:left="650"/>
              <w:rPr>
                <w:rFonts w:hint="eastAsia" w:ascii="黑体" w:eastAsia="黑体"/>
                <w:sz w:val="21"/>
              </w:rPr>
            </w:pPr>
            <w:r>
              <w:rPr>
                <w:rFonts w:hint="eastAsia" w:ascii="黑体" w:eastAsia="黑体"/>
                <w:sz w:val="21"/>
              </w:rPr>
              <w:t>检查内容</w:t>
            </w:r>
          </w:p>
        </w:tc>
        <w:tc>
          <w:tcPr>
            <w:tcW w:w="7306" w:type="dxa"/>
            <w:vAlign w:val="top"/>
          </w:tcPr>
          <w:p>
            <w:pPr>
              <w:pStyle w:val="7"/>
              <w:spacing w:before="127"/>
              <w:ind w:left="3212" w:right="3204"/>
              <w:jc w:val="center"/>
              <w:rPr>
                <w:rFonts w:hint="eastAsia" w:ascii="黑体" w:eastAsia="黑体"/>
                <w:sz w:val="21"/>
              </w:rPr>
            </w:pPr>
            <w:r>
              <w:rPr>
                <w:rFonts w:hint="eastAsia" w:ascii="黑体" w:eastAsia="黑体"/>
                <w:sz w:val="21"/>
              </w:rPr>
              <w:t>检查依据</w:t>
            </w:r>
          </w:p>
        </w:tc>
        <w:tc>
          <w:tcPr>
            <w:tcW w:w="2969" w:type="dxa"/>
            <w:vAlign w:val="top"/>
          </w:tcPr>
          <w:p>
            <w:pPr>
              <w:pStyle w:val="7"/>
              <w:spacing w:before="127"/>
              <w:ind w:left="537"/>
              <w:rPr>
                <w:rFonts w:hint="eastAsia" w:ascii="黑体" w:eastAsia="黑体"/>
                <w:sz w:val="21"/>
              </w:rPr>
            </w:pPr>
            <w:r>
              <w:rPr>
                <w:rFonts w:hint="eastAsia" w:ascii="黑体" w:eastAsia="黑体"/>
                <w:sz w:val="21"/>
              </w:rPr>
              <w:t>处罚依据和整改建议</w:t>
            </w:r>
          </w:p>
        </w:tc>
        <w:tc>
          <w:tcPr>
            <w:tcW w:w="774" w:type="dxa"/>
            <w:vAlign w:val="top"/>
          </w:tcPr>
          <w:p>
            <w:pPr>
              <w:pStyle w:val="7"/>
              <w:spacing w:before="127"/>
              <w:ind w:left="177"/>
              <w:rPr>
                <w:rFonts w:hint="eastAsia" w:ascii="黑体" w:eastAsia="黑体"/>
                <w:sz w:val="21"/>
              </w:rPr>
            </w:pPr>
            <w:r>
              <w:rPr>
                <w:rFonts w:hint="eastAsia" w:ascii="黑体" w:eastAsia="黑体"/>
                <w:sz w:val="21"/>
              </w:rPr>
              <w:t>备注</w:t>
            </w:r>
          </w:p>
        </w:tc>
      </w:tr>
      <w:tr>
        <w:trPr>
          <w:trHeight w:val="2763" w:hRule="atLeast"/>
        </w:trPr>
        <w:tc>
          <w:tcPr>
            <w:tcW w:w="657"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5"/>
              <w:rPr>
                <w:rFonts w:ascii="Times New Roman"/>
                <w:sz w:val="28"/>
              </w:rPr>
            </w:pPr>
          </w:p>
          <w:p>
            <w:pPr>
              <w:pStyle w:val="7"/>
              <w:ind w:left="96" w:right="90"/>
              <w:jc w:val="center"/>
              <w:rPr>
                <w:sz w:val="21"/>
              </w:rPr>
            </w:pPr>
            <w:r>
              <w:rPr>
                <w:sz w:val="21"/>
              </w:rPr>
              <w:t>39</w:t>
            </w:r>
          </w:p>
        </w:tc>
        <w:tc>
          <w:tcPr>
            <w:tcW w:w="656" w:type="dxa"/>
            <w:vMerge w:val="restart"/>
            <w:textDirection w:val="tbRl"/>
            <w:vAlign w:val="top"/>
          </w:tcPr>
          <w:p>
            <w:pPr>
              <w:pStyle w:val="7"/>
              <w:spacing w:before="34"/>
              <w:ind w:left="1463" w:right="1452"/>
              <w:jc w:val="center"/>
              <w:rPr>
                <w:rFonts w:hint="eastAsia" w:ascii="微软雅黑" w:eastAsia="微软雅黑"/>
                <w:b/>
                <w:sz w:val="21"/>
              </w:rPr>
            </w:pPr>
            <w:r>
              <w:rPr>
                <w:rFonts w:hint="eastAsia" w:ascii="微软雅黑" w:eastAsia="微软雅黑"/>
                <w:b/>
                <w:sz w:val="21"/>
              </w:rPr>
              <w:t>责 任 明 确 的 隐 患 排 查 治 理 机 制</w:t>
            </w:r>
          </w:p>
        </w:tc>
        <w:tc>
          <w:tcPr>
            <w:tcW w:w="711" w:type="dxa"/>
            <w:tcBorders>
              <w:bottom w:val="nil"/>
            </w:tcBorders>
            <w:vAlign w:val="top"/>
          </w:tcPr>
          <w:p>
            <w:pPr>
              <w:pStyle w:val="7"/>
              <w:rPr>
                <w:rFonts w:ascii="Times New Roman"/>
                <w:sz w:val="20"/>
              </w:rPr>
            </w:pPr>
          </w:p>
        </w:tc>
        <w:tc>
          <w:tcPr>
            <w:tcW w:w="2145" w:type="dxa"/>
            <w:vAlign w:val="top"/>
          </w:tcPr>
          <w:p>
            <w:pPr>
              <w:pStyle w:val="7"/>
              <w:rPr>
                <w:rFonts w:ascii="Times New Roman"/>
                <w:sz w:val="20"/>
              </w:rPr>
            </w:pPr>
          </w:p>
          <w:p>
            <w:pPr>
              <w:pStyle w:val="7"/>
              <w:rPr>
                <w:rFonts w:ascii="Times New Roman"/>
                <w:sz w:val="20"/>
              </w:rPr>
            </w:pPr>
          </w:p>
          <w:p>
            <w:pPr>
              <w:pStyle w:val="7"/>
              <w:spacing w:before="8"/>
              <w:rPr>
                <w:rFonts w:ascii="Times New Roman"/>
                <w:sz w:val="27"/>
              </w:rPr>
            </w:pPr>
          </w:p>
          <w:p>
            <w:pPr>
              <w:pStyle w:val="7"/>
              <w:spacing w:line="278" w:lineRule="auto"/>
              <w:ind w:left="108" w:right="97"/>
              <w:jc w:val="both"/>
              <w:rPr>
                <w:sz w:val="21"/>
              </w:rPr>
            </w:pPr>
            <w:r>
              <w:rPr>
                <w:sz w:val="21"/>
              </w:rPr>
              <w:t>生产经营单位对存在的重大事故隐患，不得隐瞒不报、谎报或者拖延不报。</w:t>
            </w:r>
          </w:p>
        </w:tc>
        <w:tc>
          <w:tcPr>
            <w:tcW w:w="7306" w:type="dxa"/>
            <w:tcBorders>
              <w:bottom w:val="nil"/>
            </w:tcBorders>
            <w:vAlign w:val="top"/>
          </w:tcPr>
          <w:p>
            <w:pPr>
              <w:pStyle w:val="7"/>
              <w:rPr>
                <w:rFonts w:ascii="Times New Roman"/>
                <w:sz w:val="20"/>
              </w:rPr>
            </w:pPr>
          </w:p>
        </w:tc>
        <w:tc>
          <w:tcPr>
            <w:tcW w:w="2969" w:type="dxa"/>
            <w:vAlign w:val="top"/>
          </w:tcPr>
          <w:p>
            <w:pPr>
              <w:pStyle w:val="7"/>
              <w:rPr>
                <w:rFonts w:ascii="Times New Roman"/>
                <w:sz w:val="20"/>
              </w:rPr>
            </w:pPr>
          </w:p>
          <w:p>
            <w:pPr>
              <w:pStyle w:val="7"/>
              <w:rPr>
                <w:rFonts w:ascii="Times New Roman"/>
                <w:sz w:val="20"/>
              </w:rPr>
            </w:pPr>
          </w:p>
          <w:p>
            <w:pPr>
              <w:pStyle w:val="7"/>
              <w:spacing w:before="163" w:line="278" w:lineRule="auto"/>
              <w:ind w:left="108" w:right="95"/>
              <w:rPr>
                <w:sz w:val="21"/>
              </w:rPr>
            </w:pPr>
            <w:r>
              <w:rPr>
                <w:sz w:val="21"/>
              </w:rPr>
              <w:t>《安全生产事故隐患排查治理暂行规定》第二十六条第四项</w:t>
            </w:r>
          </w:p>
          <w:p>
            <w:pPr>
              <w:pStyle w:val="7"/>
              <w:spacing w:line="278" w:lineRule="auto"/>
              <w:ind w:left="108" w:right="95"/>
              <w:jc w:val="both"/>
              <w:rPr>
                <w:sz w:val="21"/>
              </w:rPr>
            </w:pPr>
            <w:r>
              <w:rPr>
                <w:sz w:val="21"/>
              </w:rPr>
              <w:t>（重大事故隐患不报或者未及时报告的）：给予警告，并处三万元以下的罚款。</w:t>
            </w:r>
          </w:p>
        </w:tc>
        <w:tc>
          <w:tcPr>
            <w:tcW w:w="774" w:type="dxa"/>
            <w:vAlign w:val="top"/>
          </w:tcPr>
          <w:p>
            <w:pPr>
              <w:pStyle w:val="7"/>
              <w:rPr>
                <w:rFonts w:ascii="Times New Roman"/>
                <w:sz w:val="20"/>
              </w:rPr>
            </w:pPr>
          </w:p>
        </w:tc>
      </w:tr>
      <w:tr>
        <w:trPr>
          <w:trHeight w:val="286" w:hRule="atLeast"/>
        </w:trPr>
        <w:tc>
          <w:tcPr>
            <w:tcW w:w="657" w:type="dxa"/>
            <w:tcBorders>
              <w:bottom w:val="nil"/>
            </w:tcBorders>
            <w:vAlign w:val="top"/>
          </w:tcPr>
          <w:p>
            <w:pPr>
              <w:pStyle w:val="7"/>
              <w:rPr>
                <w:rFonts w:ascii="Times New Roman"/>
                <w:sz w:val="20"/>
              </w:rPr>
            </w:pPr>
          </w:p>
        </w:tc>
        <w:tc>
          <w:tcPr>
            <w:tcW w:w="656" w:type="dxa"/>
            <w:vMerge w:val="continue"/>
            <w:tcBorders>
              <w:top w:val="nil"/>
            </w:tcBorders>
            <w:textDirection w:val="tbRl"/>
            <w:vAlign w:val="top"/>
          </w:tcPr>
          <w:p>
            <w:pPr>
              <w:rPr>
                <w:sz w:val="2"/>
                <w:szCs w:val="2"/>
              </w:rPr>
            </w:pPr>
          </w:p>
        </w:tc>
        <w:tc>
          <w:tcPr>
            <w:tcW w:w="711" w:type="dxa"/>
            <w:tcBorders>
              <w:top w:val="nil"/>
              <w:bottom w:val="nil"/>
            </w:tcBorders>
            <w:vAlign w:val="top"/>
          </w:tcPr>
          <w:p>
            <w:pPr>
              <w:pStyle w:val="7"/>
              <w:spacing w:line="266" w:lineRule="exact"/>
              <w:ind w:left="108"/>
              <w:rPr>
                <w:sz w:val="21"/>
              </w:rPr>
            </w:pPr>
            <w:r>
              <w:rPr>
                <w:sz w:val="21"/>
              </w:rPr>
              <w:t>事故</w:t>
            </w:r>
          </w:p>
        </w:tc>
        <w:tc>
          <w:tcPr>
            <w:tcW w:w="2145" w:type="dxa"/>
            <w:tcBorders>
              <w:bottom w:val="nil"/>
            </w:tcBorders>
            <w:vAlign w:val="top"/>
          </w:tcPr>
          <w:p>
            <w:pPr>
              <w:pStyle w:val="7"/>
              <w:rPr>
                <w:rFonts w:ascii="Times New Roman"/>
                <w:sz w:val="20"/>
              </w:rPr>
            </w:pPr>
          </w:p>
        </w:tc>
        <w:tc>
          <w:tcPr>
            <w:tcW w:w="7306" w:type="dxa"/>
            <w:tcBorders>
              <w:top w:val="nil"/>
              <w:bottom w:val="nil"/>
            </w:tcBorders>
            <w:vAlign w:val="top"/>
          </w:tcPr>
          <w:p>
            <w:pPr>
              <w:pStyle w:val="7"/>
              <w:rPr>
                <w:rFonts w:ascii="Times New Roman"/>
                <w:sz w:val="20"/>
              </w:rPr>
            </w:pPr>
          </w:p>
        </w:tc>
        <w:tc>
          <w:tcPr>
            <w:tcW w:w="2969" w:type="dxa"/>
            <w:tcBorders>
              <w:bottom w:val="nil"/>
            </w:tcBorders>
            <w:vAlign w:val="top"/>
          </w:tcPr>
          <w:p>
            <w:pPr>
              <w:pStyle w:val="7"/>
              <w:rPr>
                <w:rFonts w:ascii="Times New Roman"/>
                <w:sz w:val="20"/>
              </w:rPr>
            </w:pPr>
          </w:p>
        </w:tc>
        <w:tc>
          <w:tcPr>
            <w:tcW w:w="774" w:type="dxa"/>
            <w:vMerge w:val="restart"/>
            <w:vAlign w:val="top"/>
          </w:tcPr>
          <w:p>
            <w:pPr>
              <w:pStyle w:val="7"/>
              <w:rPr>
                <w:rFonts w:ascii="Times New Roman"/>
                <w:sz w:val="20"/>
              </w:rPr>
            </w:pPr>
          </w:p>
        </w:tc>
      </w:tr>
      <w:tr>
        <w:trPr>
          <w:trHeight w:val="750" w:hRule="atLeast"/>
        </w:trPr>
        <w:tc>
          <w:tcPr>
            <w:tcW w:w="657" w:type="dxa"/>
            <w:tcBorders>
              <w:top w:val="nil"/>
              <w:bottom w:val="nil"/>
            </w:tcBorders>
            <w:vAlign w:val="top"/>
          </w:tcPr>
          <w:p>
            <w:pPr>
              <w:pStyle w:val="7"/>
              <w:rPr>
                <w:rFonts w:ascii="Times New Roman"/>
                <w:sz w:val="20"/>
              </w:rPr>
            </w:pPr>
          </w:p>
        </w:tc>
        <w:tc>
          <w:tcPr>
            <w:tcW w:w="656" w:type="dxa"/>
            <w:vMerge w:val="continue"/>
            <w:tcBorders>
              <w:top w:val="nil"/>
            </w:tcBorders>
            <w:textDirection w:val="tbRl"/>
            <w:vAlign w:val="top"/>
          </w:tcPr>
          <w:p>
            <w:pPr>
              <w:rPr>
                <w:sz w:val="2"/>
                <w:szCs w:val="2"/>
              </w:rPr>
            </w:pPr>
          </w:p>
        </w:tc>
        <w:tc>
          <w:tcPr>
            <w:tcW w:w="711" w:type="dxa"/>
            <w:tcBorders>
              <w:top w:val="nil"/>
              <w:bottom w:val="nil"/>
            </w:tcBorders>
            <w:vAlign w:val="top"/>
          </w:tcPr>
          <w:p>
            <w:pPr>
              <w:pStyle w:val="7"/>
              <w:spacing w:before="16" w:line="278" w:lineRule="auto"/>
              <w:ind w:left="108" w:right="172"/>
              <w:rPr>
                <w:sz w:val="21"/>
              </w:rPr>
            </w:pPr>
            <w:r>
              <w:rPr>
                <w:sz w:val="21"/>
              </w:rPr>
              <w:t>隐患报告</w:t>
            </w:r>
          </w:p>
        </w:tc>
        <w:tc>
          <w:tcPr>
            <w:tcW w:w="2145" w:type="dxa"/>
            <w:tcBorders>
              <w:top w:val="nil"/>
              <w:bottom w:val="nil"/>
            </w:tcBorders>
            <w:vAlign w:val="top"/>
          </w:tcPr>
          <w:p>
            <w:pPr>
              <w:pStyle w:val="7"/>
              <w:rPr>
                <w:rFonts w:ascii="Times New Roman"/>
                <w:sz w:val="20"/>
              </w:rPr>
            </w:pPr>
          </w:p>
        </w:tc>
        <w:tc>
          <w:tcPr>
            <w:tcW w:w="7306" w:type="dxa"/>
            <w:tcBorders>
              <w:top w:val="nil"/>
              <w:bottom w:val="nil"/>
            </w:tcBorders>
            <w:vAlign w:val="top"/>
          </w:tcPr>
          <w:p>
            <w:pPr>
              <w:pStyle w:val="7"/>
              <w:spacing w:before="16"/>
              <w:ind w:left="211"/>
              <w:rPr>
                <w:sz w:val="21"/>
              </w:rPr>
            </w:pPr>
            <w:r>
              <w:rPr>
                <w:sz w:val="21"/>
              </w:rPr>
              <w:t>《安全生产违法行为行政处罚办法》（原总局令 77 号）</w:t>
            </w:r>
          </w:p>
        </w:tc>
        <w:tc>
          <w:tcPr>
            <w:tcW w:w="2969" w:type="dxa"/>
            <w:tcBorders>
              <w:top w:val="nil"/>
              <w:bottom w:val="nil"/>
            </w:tcBorders>
            <w:vAlign w:val="top"/>
          </w:tcPr>
          <w:p>
            <w:pPr>
              <w:pStyle w:val="7"/>
              <w:spacing w:before="112" w:line="310" w:lineRule="atLeast"/>
              <w:ind w:left="108" w:right="15"/>
              <w:rPr>
                <w:sz w:val="21"/>
              </w:rPr>
            </w:pPr>
            <w:r>
              <w:rPr>
                <w:sz w:val="21"/>
              </w:rPr>
              <w:t>《安全生产违法行为行政处罚办法》第 4 条第六项（故意提</w:t>
            </w:r>
          </w:p>
        </w:tc>
        <w:tc>
          <w:tcPr>
            <w:tcW w:w="774" w:type="dxa"/>
            <w:vMerge w:val="continue"/>
            <w:tcBorders>
              <w:top w:val="nil"/>
            </w:tcBorders>
            <w:vAlign w:val="top"/>
          </w:tcPr>
          <w:p>
            <w:pPr>
              <w:rPr>
                <w:sz w:val="2"/>
                <w:szCs w:val="2"/>
              </w:rPr>
            </w:pPr>
          </w:p>
        </w:tc>
      </w:tr>
      <w:tr>
        <w:trPr>
          <w:trHeight w:val="1550" w:hRule="atLeast"/>
        </w:trPr>
        <w:tc>
          <w:tcPr>
            <w:tcW w:w="657" w:type="dxa"/>
            <w:tcBorders>
              <w:top w:val="nil"/>
              <w:bottom w:val="nil"/>
            </w:tcBorders>
            <w:vAlign w:val="top"/>
          </w:tcPr>
          <w:p>
            <w:pPr>
              <w:pStyle w:val="7"/>
              <w:rPr>
                <w:rFonts w:ascii="Times New Roman"/>
                <w:sz w:val="20"/>
              </w:rPr>
            </w:pPr>
          </w:p>
          <w:p>
            <w:pPr>
              <w:pStyle w:val="7"/>
              <w:rPr>
                <w:rFonts w:ascii="Times New Roman"/>
                <w:sz w:val="20"/>
              </w:rPr>
            </w:pPr>
          </w:p>
          <w:p>
            <w:pPr>
              <w:pStyle w:val="7"/>
              <w:spacing w:before="7"/>
              <w:rPr>
                <w:rFonts w:ascii="Times New Roman"/>
                <w:sz w:val="15"/>
              </w:rPr>
            </w:pPr>
          </w:p>
          <w:p>
            <w:pPr>
              <w:pStyle w:val="7"/>
              <w:ind w:left="96" w:right="90"/>
              <w:jc w:val="center"/>
              <w:rPr>
                <w:sz w:val="21"/>
              </w:rPr>
            </w:pPr>
            <w:r>
              <w:rPr>
                <w:sz w:val="21"/>
              </w:rPr>
              <w:t>40</w:t>
            </w:r>
          </w:p>
        </w:tc>
        <w:tc>
          <w:tcPr>
            <w:tcW w:w="656" w:type="dxa"/>
            <w:vMerge w:val="continue"/>
            <w:tcBorders>
              <w:top w:val="nil"/>
            </w:tcBorders>
            <w:textDirection w:val="tbRl"/>
            <w:vAlign w:val="top"/>
          </w:tcPr>
          <w:p>
            <w:pPr>
              <w:rPr>
                <w:sz w:val="2"/>
                <w:szCs w:val="2"/>
              </w:rPr>
            </w:pPr>
          </w:p>
        </w:tc>
        <w:tc>
          <w:tcPr>
            <w:tcW w:w="711" w:type="dxa"/>
            <w:tcBorders>
              <w:top w:val="nil"/>
              <w:bottom w:val="nil"/>
            </w:tcBorders>
            <w:vAlign w:val="top"/>
          </w:tcPr>
          <w:p>
            <w:pPr>
              <w:pStyle w:val="7"/>
              <w:rPr>
                <w:rFonts w:ascii="Times New Roman"/>
                <w:sz w:val="20"/>
              </w:rPr>
            </w:pPr>
          </w:p>
        </w:tc>
        <w:tc>
          <w:tcPr>
            <w:tcW w:w="2145" w:type="dxa"/>
            <w:tcBorders>
              <w:top w:val="nil"/>
              <w:bottom w:val="nil"/>
            </w:tcBorders>
            <w:vAlign w:val="top"/>
          </w:tcPr>
          <w:p>
            <w:pPr>
              <w:pStyle w:val="7"/>
              <w:spacing w:before="172" w:line="278" w:lineRule="auto"/>
              <w:ind w:left="108" w:right="97"/>
              <w:jc w:val="both"/>
              <w:rPr>
                <w:sz w:val="21"/>
              </w:rPr>
            </w:pPr>
            <w:r>
              <w:rPr>
                <w:sz w:val="21"/>
              </w:rPr>
              <w:t>生产经营单位不得故意提供虚假情况或者隐瞒存在的事故隐患以及其他安全问题。</w:t>
            </w:r>
          </w:p>
        </w:tc>
        <w:tc>
          <w:tcPr>
            <w:tcW w:w="7306" w:type="dxa"/>
            <w:tcBorders>
              <w:top w:val="nil"/>
              <w:bottom w:val="nil"/>
            </w:tcBorders>
            <w:vAlign w:val="top"/>
          </w:tcPr>
          <w:p>
            <w:pPr>
              <w:pStyle w:val="7"/>
              <w:rPr>
                <w:rFonts w:ascii="Times New Roman"/>
                <w:sz w:val="20"/>
              </w:rPr>
            </w:pPr>
          </w:p>
        </w:tc>
        <w:tc>
          <w:tcPr>
            <w:tcW w:w="2969" w:type="dxa"/>
            <w:tcBorders>
              <w:top w:val="nil"/>
              <w:bottom w:val="nil"/>
            </w:tcBorders>
            <w:vAlign w:val="top"/>
          </w:tcPr>
          <w:p>
            <w:pPr>
              <w:pStyle w:val="7"/>
              <w:spacing w:before="16" w:line="278" w:lineRule="auto"/>
              <w:ind w:left="108" w:right="-15"/>
              <w:rPr>
                <w:sz w:val="21"/>
              </w:rPr>
            </w:pPr>
            <w:r>
              <w:rPr>
                <w:sz w:val="21"/>
              </w:rPr>
              <w:t>供虚假情况或者隐瞒存在的事故隐患以及其他安全问题的</w:t>
            </w:r>
            <w:r>
              <w:rPr>
                <w:spacing w:val="-41"/>
                <w:sz w:val="21"/>
              </w:rPr>
              <w:t xml:space="preserve">）： </w:t>
            </w:r>
            <w:r>
              <w:rPr>
                <w:sz w:val="21"/>
              </w:rPr>
              <w:t>给予警告，并可以对生产经营</w:t>
            </w:r>
            <w:r>
              <w:rPr>
                <w:spacing w:val="-13"/>
                <w:sz w:val="21"/>
              </w:rPr>
              <w:t xml:space="preserve">单位处 </w:t>
            </w:r>
            <w:r>
              <w:rPr>
                <w:sz w:val="21"/>
              </w:rPr>
              <w:t>1</w:t>
            </w:r>
            <w:r>
              <w:rPr>
                <w:spacing w:val="-17"/>
                <w:sz w:val="21"/>
              </w:rPr>
              <w:t xml:space="preserve"> 万元以上 </w:t>
            </w:r>
            <w:r>
              <w:rPr>
                <w:sz w:val="21"/>
              </w:rPr>
              <w:t>3</w:t>
            </w:r>
            <w:r>
              <w:rPr>
                <w:spacing w:val="-10"/>
                <w:sz w:val="21"/>
              </w:rPr>
              <w:t xml:space="preserve"> 万元以下</w:t>
            </w:r>
          </w:p>
          <w:p>
            <w:pPr>
              <w:pStyle w:val="7"/>
              <w:spacing w:line="265" w:lineRule="exact"/>
              <w:ind w:left="108"/>
              <w:rPr>
                <w:sz w:val="21"/>
              </w:rPr>
            </w:pPr>
            <w:r>
              <w:rPr>
                <w:sz w:val="21"/>
              </w:rPr>
              <w:t>罚款，对其主要负责人、其他</w:t>
            </w:r>
          </w:p>
        </w:tc>
        <w:tc>
          <w:tcPr>
            <w:tcW w:w="774" w:type="dxa"/>
            <w:vMerge w:val="continue"/>
            <w:tcBorders>
              <w:top w:val="nil"/>
            </w:tcBorders>
            <w:vAlign w:val="top"/>
          </w:tcPr>
          <w:p>
            <w:pPr>
              <w:rPr>
                <w:sz w:val="2"/>
                <w:szCs w:val="2"/>
              </w:rPr>
            </w:pPr>
          </w:p>
        </w:tc>
      </w:tr>
      <w:tr>
        <w:trPr>
          <w:trHeight w:val="302" w:hRule="atLeast"/>
        </w:trPr>
        <w:tc>
          <w:tcPr>
            <w:tcW w:w="657" w:type="dxa"/>
            <w:tcBorders>
              <w:top w:val="nil"/>
              <w:bottom w:val="nil"/>
            </w:tcBorders>
            <w:vAlign w:val="top"/>
          </w:tcPr>
          <w:p>
            <w:pPr>
              <w:pStyle w:val="7"/>
              <w:rPr>
                <w:rFonts w:ascii="Times New Roman"/>
                <w:sz w:val="20"/>
              </w:rPr>
            </w:pPr>
          </w:p>
        </w:tc>
        <w:tc>
          <w:tcPr>
            <w:tcW w:w="656" w:type="dxa"/>
            <w:vMerge w:val="continue"/>
            <w:tcBorders>
              <w:top w:val="nil"/>
            </w:tcBorders>
            <w:textDirection w:val="tbRl"/>
            <w:vAlign w:val="top"/>
          </w:tcPr>
          <w:p>
            <w:pPr>
              <w:rPr>
                <w:sz w:val="2"/>
                <w:szCs w:val="2"/>
              </w:rPr>
            </w:pPr>
          </w:p>
        </w:tc>
        <w:tc>
          <w:tcPr>
            <w:tcW w:w="711" w:type="dxa"/>
            <w:tcBorders>
              <w:top w:val="nil"/>
              <w:bottom w:val="nil"/>
            </w:tcBorders>
            <w:vAlign w:val="top"/>
          </w:tcPr>
          <w:p>
            <w:pPr>
              <w:pStyle w:val="7"/>
              <w:rPr>
                <w:rFonts w:ascii="Times New Roman"/>
                <w:sz w:val="20"/>
              </w:rPr>
            </w:pPr>
          </w:p>
        </w:tc>
        <w:tc>
          <w:tcPr>
            <w:tcW w:w="2145" w:type="dxa"/>
            <w:tcBorders>
              <w:top w:val="nil"/>
              <w:bottom w:val="nil"/>
            </w:tcBorders>
            <w:vAlign w:val="top"/>
          </w:tcPr>
          <w:p>
            <w:pPr>
              <w:pStyle w:val="7"/>
              <w:rPr>
                <w:rFonts w:ascii="Times New Roman"/>
                <w:sz w:val="20"/>
              </w:rPr>
            </w:pPr>
          </w:p>
        </w:tc>
        <w:tc>
          <w:tcPr>
            <w:tcW w:w="7306" w:type="dxa"/>
            <w:tcBorders>
              <w:top w:val="nil"/>
              <w:bottom w:val="nil"/>
            </w:tcBorders>
            <w:vAlign w:val="top"/>
          </w:tcPr>
          <w:p>
            <w:pPr>
              <w:pStyle w:val="7"/>
              <w:rPr>
                <w:rFonts w:ascii="Times New Roman"/>
                <w:sz w:val="20"/>
              </w:rPr>
            </w:pPr>
          </w:p>
        </w:tc>
        <w:tc>
          <w:tcPr>
            <w:tcW w:w="2969" w:type="dxa"/>
            <w:tcBorders>
              <w:top w:val="nil"/>
              <w:bottom w:val="nil"/>
            </w:tcBorders>
            <w:vAlign w:val="top"/>
          </w:tcPr>
          <w:p>
            <w:pPr>
              <w:pStyle w:val="7"/>
              <w:spacing w:before="16" w:line="266" w:lineRule="exact"/>
              <w:ind w:left="108"/>
              <w:rPr>
                <w:sz w:val="21"/>
              </w:rPr>
            </w:pPr>
            <w:r>
              <w:rPr>
                <w:sz w:val="21"/>
              </w:rPr>
              <w:t>有关人员处1000 元以上1 万元</w:t>
            </w:r>
          </w:p>
        </w:tc>
        <w:tc>
          <w:tcPr>
            <w:tcW w:w="774" w:type="dxa"/>
            <w:vMerge w:val="continue"/>
            <w:tcBorders>
              <w:top w:val="nil"/>
            </w:tcBorders>
            <w:vAlign w:val="top"/>
          </w:tcPr>
          <w:p>
            <w:pPr>
              <w:rPr>
                <w:sz w:val="2"/>
                <w:szCs w:val="2"/>
              </w:rPr>
            </w:pPr>
          </w:p>
        </w:tc>
      </w:tr>
      <w:tr>
        <w:trPr>
          <w:trHeight w:val="735" w:hRule="atLeast"/>
        </w:trPr>
        <w:tc>
          <w:tcPr>
            <w:tcW w:w="657" w:type="dxa"/>
            <w:tcBorders>
              <w:top w:val="nil"/>
            </w:tcBorders>
            <w:vAlign w:val="top"/>
          </w:tcPr>
          <w:p>
            <w:pPr>
              <w:pStyle w:val="7"/>
              <w:rPr>
                <w:rFonts w:ascii="Times New Roman"/>
                <w:sz w:val="20"/>
              </w:rPr>
            </w:pPr>
          </w:p>
        </w:tc>
        <w:tc>
          <w:tcPr>
            <w:tcW w:w="656" w:type="dxa"/>
            <w:vMerge w:val="continue"/>
            <w:tcBorders>
              <w:top w:val="nil"/>
            </w:tcBorders>
            <w:textDirection w:val="tbRl"/>
            <w:vAlign w:val="top"/>
          </w:tcPr>
          <w:p>
            <w:pPr>
              <w:rPr>
                <w:sz w:val="2"/>
                <w:szCs w:val="2"/>
              </w:rPr>
            </w:pPr>
          </w:p>
        </w:tc>
        <w:tc>
          <w:tcPr>
            <w:tcW w:w="711" w:type="dxa"/>
            <w:tcBorders>
              <w:top w:val="nil"/>
            </w:tcBorders>
            <w:vAlign w:val="top"/>
          </w:tcPr>
          <w:p>
            <w:pPr>
              <w:pStyle w:val="7"/>
              <w:rPr>
                <w:rFonts w:ascii="Times New Roman"/>
                <w:sz w:val="20"/>
              </w:rPr>
            </w:pPr>
          </w:p>
        </w:tc>
        <w:tc>
          <w:tcPr>
            <w:tcW w:w="2145" w:type="dxa"/>
            <w:tcBorders>
              <w:top w:val="nil"/>
            </w:tcBorders>
            <w:vAlign w:val="top"/>
          </w:tcPr>
          <w:p>
            <w:pPr>
              <w:pStyle w:val="7"/>
              <w:rPr>
                <w:rFonts w:ascii="Times New Roman"/>
                <w:sz w:val="20"/>
              </w:rPr>
            </w:pPr>
          </w:p>
        </w:tc>
        <w:tc>
          <w:tcPr>
            <w:tcW w:w="7306" w:type="dxa"/>
            <w:tcBorders>
              <w:top w:val="nil"/>
            </w:tcBorders>
            <w:vAlign w:val="top"/>
          </w:tcPr>
          <w:p>
            <w:pPr>
              <w:pStyle w:val="7"/>
              <w:rPr>
                <w:rFonts w:ascii="Times New Roman"/>
                <w:sz w:val="20"/>
              </w:rPr>
            </w:pPr>
          </w:p>
        </w:tc>
        <w:tc>
          <w:tcPr>
            <w:tcW w:w="2969" w:type="dxa"/>
            <w:tcBorders>
              <w:top w:val="nil"/>
            </w:tcBorders>
            <w:vAlign w:val="top"/>
          </w:tcPr>
          <w:p>
            <w:pPr>
              <w:pStyle w:val="7"/>
              <w:spacing w:before="16"/>
              <w:ind w:left="108"/>
              <w:rPr>
                <w:sz w:val="21"/>
              </w:rPr>
            </w:pPr>
            <w:r>
              <w:rPr>
                <w:sz w:val="21"/>
              </w:rPr>
              <w:t>以下的罚款。</w:t>
            </w:r>
          </w:p>
        </w:tc>
        <w:tc>
          <w:tcPr>
            <w:tcW w:w="774" w:type="dxa"/>
            <w:vMerge w:val="continue"/>
            <w:tcBorders>
              <w:top w:val="nil"/>
            </w:tcBorders>
            <w:vAlign w:val="top"/>
          </w:tcPr>
          <w:p>
            <w:pPr>
              <w:rPr>
                <w:sz w:val="2"/>
                <w:szCs w:val="2"/>
              </w:rPr>
            </w:pPr>
          </w:p>
        </w:tc>
      </w:tr>
    </w:tbl>
    <w:p>
      <w:pPr>
        <w:spacing w:after="0"/>
        <w:rPr>
          <w:sz w:val="2"/>
          <w:szCs w:val="2"/>
        </w:rPr>
        <w:sectPr>
          <w:pgSz w:w="16840" w:h="11910" w:orient="landscape"/>
          <w:pgMar w:top="1100" w:right="700" w:bottom="1100" w:left="700" w:header="0" w:footer="907"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W w:w="15218"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7"/>
        <w:gridCol w:w="656"/>
        <w:gridCol w:w="711"/>
        <w:gridCol w:w="2145"/>
        <w:gridCol w:w="7306"/>
        <w:gridCol w:w="2969"/>
        <w:gridCol w:w="774"/>
      </w:tblGrid>
      <w:tr>
        <w:trPr>
          <w:trHeight w:val="523" w:hRule="atLeast"/>
        </w:trPr>
        <w:tc>
          <w:tcPr>
            <w:tcW w:w="657" w:type="dxa"/>
            <w:vAlign w:val="top"/>
          </w:tcPr>
          <w:p>
            <w:pPr>
              <w:pStyle w:val="7"/>
              <w:spacing w:before="127"/>
              <w:ind w:left="97" w:right="90"/>
              <w:jc w:val="center"/>
              <w:rPr>
                <w:rFonts w:hint="eastAsia" w:ascii="黑体" w:eastAsia="黑体"/>
                <w:sz w:val="21"/>
              </w:rPr>
            </w:pPr>
            <w:r>
              <w:rPr>
                <w:rFonts w:hint="eastAsia" w:ascii="黑体" w:eastAsia="黑体"/>
                <w:sz w:val="21"/>
              </w:rPr>
              <w:t>序号</w:t>
            </w:r>
          </w:p>
        </w:tc>
        <w:tc>
          <w:tcPr>
            <w:tcW w:w="656" w:type="dxa"/>
            <w:vAlign w:val="top"/>
          </w:tcPr>
          <w:p>
            <w:pPr>
              <w:pStyle w:val="7"/>
              <w:spacing w:before="127"/>
              <w:ind w:left="116"/>
              <w:rPr>
                <w:rFonts w:hint="eastAsia" w:ascii="黑体" w:eastAsia="黑体"/>
                <w:sz w:val="21"/>
              </w:rPr>
            </w:pPr>
            <w:r>
              <w:rPr>
                <w:rFonts w:hint="eastAsia" w:ascii="黑体" w:eastAsia="黑体"/>
                <w:sz w:val="21"/>
              </w:rPr>
              <w:t>类别</w:t>
            </w:r>
          </w:p>
        </w:tc>
        <w:tc>
          <w:tcPr>
            <w:tcW w:w="711" w:type="dxa"/>
            <w:vAlign w:val="top"/>
          </w:tcPr>
          <w:p>
            <w:pPr>
              <w:pStyle w:val="7"/>
              <w:spacing w:before="127"/>
              <w:ind w:left="144"/>
              <w:rPr>
                <w:rFonts w:hint="eastAsia" w:ascii="黑体" w:eastAsia="黑体"/>
                <w:sz w:val="21"/>
              </w:rPr>
            </w:pPr>
            <w:r>
              <w:rPr>
                <w:rFonts w:hint="eastAsia" w:ascii="黑体" w:eastAsia="黑体"/>
                <w:sz w:val="21"/>
              </w:rPr>
              <w:t>项目</w:t>
            </w:r>
          </w:p>
        </w:tc>
        <w:tc>
          <w:tcPr>
            <w:tcW w:w="2145" w:type="dxa"/>
            <w:vAlign w:val="top"/>
          </w:tcPr>
          <w:p>
            <w:pPr>
              <w:pStyle w:val="7"/>
              <w:spacing w:before="127"/>
              <w:ind w:left="650"/>
              <w:rPr>
                <w:rFonts w:hint="eastAsia" w:ascii="黑体" w:eastAsia="黑体"/>
                <w:sz w:val="21"/>
              </w:rPr>
            </w:pPr>
            <w:r>
              <w:rPr>
                <w:rFonts w:hint="eastAsia" w:ascii="黑体" w:eastAsia="黑体"/>
                <w:sz w:val="21"/>
              </w:rPr>
              <w:t>检查内容</w:t>
            </w:r>
          </w:p>
        </w:tc>
        <w:tc>
          <w:tcPr>
            <w:tcW w:w="7306" w:type="dxa"/>
            <w:vAlign w:val="top"/>
          </w:tcPr>
          <w:p>
            <w:pPr>
              <w:pStyle w:val="7"/>
              <w:spacing w:before="127"/>
              <w:ind w:left="3212" w:right="3204"/>
              <w:jc w:val="center"/>
              <w:rPr>
                <w:rFonts w:hint="eastAsia" w:ascii="黑体" w:eastAsia="黑体"/>
                <w:sz w:val="21"/>
              </w:rPr>
            </w:pPr>
            <w:r>
              <w:rPr>
                <w:rFonts w:hint="eastAsia" w:ascii="黑体" w:eastAsia="黑体"/>
                <w:sz w:val="21"/>
              </w:rPr>
              <w:t>检查依据</w:t>
            </w:r>
          </w:p>
        </w:tc>
        <w:tc>
          <w:tcPr>
            <w:tcW w:w="2969" w:type="dxa"/>
            <w:vAlign w:val="top"/>
          </w:tcPr>
          <w:p>
            <w:pPr>
              <w:pStyle w:val="7"/>
              <w:spacing w:before="127"/>
              <w:ind w:left="537"/>
              <w:rPr>
                <w:rFonts w:hint="eastAsia" w:ascii="黑体" w:eastAsia="黑体"/>
                <w:sz w:val="21"/>
              </w:rPr>
            </w:pPr>
            <w:r>
              <w:rPr>
                <w:rFonts w:hint="eastAsia" w:ascii="黑体" w:eastAsia="黑体"/>
                <w:sz w:val="21"/>
              </w:rPr>
              <w:t>处罚依据和整改建议</w:t>
            </w:r>
          </w:p>
        </w:tc>
        <w:tc>
          <w:tcPr>
            <w:tcW w:w="774" w:type="dxa"/>
            <w:vAlign w:val="top"/>
          </w:tcPr>
          <w:p>
            <w:pPr>
              <w:pStyle w:val="7"/>
              <w:spacing w:before="127"/>
              <w:ind w:left="177"/>
              <w:rPr>
                <w:rFonts w:hint="eastAsia" w:ascii="黑体" w:eastAsia="黑体"/>
                <w:sz w:val="21"/>
              </w:rPr>
            </w:pPr>
            <w:r>
              <w:rPr>
                <w:rFonts w:hint="eastAsia" w:ascii="黑体" w:eastAsia="黑体"/>
                <w:sz w:val="21"/>
              </w:rPr>
              <w:t>备注</w:t>
            </w:r>
          </w:p>
        </w:tc>
      </w:tr>
      <w:tr>
        <w:trPr>
          <w:trHeight w:val="4464" w:hRule="atLeast"/>
        </w:trPr>
        <w:tc>
          <w:tcPr>
            <w:tcW w:w="657"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3"/>
              <w:rPr>
                <w:rFonts w:ascii="Times New Roman"/>
                <w:sz w:val="22"/>
              </w:rPr>
            </w:pPr>
          </w:p>
          <w:p>
            <w:pPr>
              <w:pStyle w:val="7"/>
              <w:spacing w:before="1"/>
              <w:ind w:left="96" w:right="90"/>
              <w:jc w:val="center"/>
              <w:rPr>
                <w:sz w:val="21"/>
              </w:rPr>
            </w:pPr>
            <w:r>
              <w:rPr>
                <w:sz w:val="21"/>
              </w:rPr>
              <w:t>41</w:t>
            </w:r>
          </w:p>
        </w:tc>
        <w:tc>
          <w:tcPr>
            <w:tcW w:w="656" w:type="dxa"/>
            <w:vMerge w:val="restart"/>
            <w:textDirection w:val="tbRl"/>
            <w:vAlign w:val="top"/>
          </w:tcPr>
          <w:p>
            <w:pPr>
              <w:pStyle w:val="7"/>
              <w:spacing w:before="34"/>
              <w:ind w:left="1954"/>
              <w:rPr>
                <w:rFonts w:hint="eastAsia" w:ascii="微软雅黑" w:eastAsia="微软雅黑"/>
                <w:b/>
                <w:sz w:val="21"/>
              </w:rPr>
            </w:pPr>
            <w:r>
              <w:rPr>
                <w:rFonts w:hint="eastAsia" w:ascii="微软雅黑" w:eastAsia="微软雅黑"/>
                <w:b/>
                <w:sz w:val="21"/>
              </w:rPr>
              <w:t>线 上 线 下 的 智 能 化 信 息 建 设</w:t>
            </w:r>
          </w:p>
        </w:tc>
        <w:tc>
          <w:tcPr>
            <w:tcW w:w="711"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75" w:line="278" w:lineRule="auto"/>
              <w:ind w:left="108" w:right="172"/>
              <w:jc w:val="both"/>
              <w:rPr>
                <w:sz w:val="21"/>
              </w:rPr>
            </w:pPr>
            <w:r>
              <w:rPr>
                <w:sz w:val="21"/>
              </w:rPr>
              <w:t>信息平台建设</w:t>
            </w:r>
          </w:p>
        </w:tc>
        <w:tc>
          <w:tcPr>
            <w:tcW w:w="2145"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67" w:line="278" w:lineRule="auto"/>
              <w:ind w:left="108" w:right="97"/>
              <w:jc w:val="both"/>
              <w:rPr>
                <w:sz w:val="21"/>
              </w:rPr>
            </w:pPr>
            <w:r>
              <w:rPr>
                <w:sz w:val="21"/>
              </w:rPr>
              <w:t>企业信息化管理系统应具有 PC 端和手机APP 信息交互方式， 实现全天候动态和全员参与隐患上报功能。</w:t>
            </w:r>
          </w:p>
        </w:tc>
        <w:tc>
          <w:tcPr>
            <w:tcW w:w="7306" w:type="dxa"/>
            <w:vAlign w:val="top"/>
          </w:tcPr>
          <w:p>
            <w:pPr>
              <w:pStyle w:val="7"/>
              <w:rPr>
                <w:rFonts w:ascii="Times New Roman"/>
                <w:sz w:val="20"/>
              </w:rPr>
            </w:pPr>
          </w:p>
          <w:p>
            <w:pPr>
              <w:pStyle w:val="7"/>
              <w:spacing w:before="151" w:line="278" w:lineRule="auto"/>
              <w:ind w:left="108" w:right="95" w:firstLine="420"/>
              <w:jc w:val="both"/>
              <w:rPr>
                <w:sz w:val="21"/>
              </w:rPr>
            </w:pPr>
            <w:r>
              <w:rPr>
                <w:spacing w:val="-9"/>
                <w:sz w:val="21"/>
              </w:rPr>
              <w:t xml:space="preserve">《安法》第 </w:t>
            </w:r>
            <w:r>
              <w:rPr>
                <w:sz w:val="21"/>
              </w:rPr>
              <w:t>37</w:t>
            </w:r>
            <w:r>
              <w:rPr>
                <w:spacing w:val="-6"/>
                <w:sz w:val="21"/>
              </w:rPr>
              <w:t xml:space="preserve"> 条第生产经营单位对重大危险源应当登记建档，进行定期</w:t>
            </w:r>
            <w:r>
              <w:rPr>
                <w:spacing w:val="-9"/>
                <w:w w:val="95"/>
                <w:sz w:val="21"/>
              </w:rPr>
              <w:t xml:space="preserve">检测、评估、监控，并制定应急预案，告知从业人员和相关人员在紧急情况下  </w:t>
            </w:r>
            <w:r>
              <w:rPr>
                <w:spacing w:val="-9"/>
                <w:sz w:val="21"/>
              </w:rPr>
              <w:t>应当采取的应急措施。</w:t>
            </w:r>
          </w:p>
          <w:p>
            <w:pPr>
              <w:pStyle w:val="7"/>
              <w:spacing w:line="278" w:lineRule="auto"/>
              <w:ind w:left="108" w:right="95" w:firstLine="420"/>
              <w:rPr>
                <w:sz w:val="21"/>
              </w:rPr>
            </w:pPr>
            <w:r>
              <w:rPr>
                <w:spacing w:val="3"/>
                <w:w w:val="95"/>
                <w:sz w:val="21"/>
              </w:rPr>
              <w:t xml:space="preserve">生产经营单位应当按照国家有关规定将本单位重大危险源及有关安全措  </w:t>
            </w:r>
            <w:r>
              <w:rPr>
                <w:sz w:val="21"/>
              </w:rPr>
              <w:t>施、应急措施报有关地方人民政府安全生产监督管理部门和有关部门备案。</w:t>
            </w:r>
          </w:p>
          <w:p>
            <w:pPr>
              <w:pStyle w:val="7"/>
              <w:tabs>
                <w:tab w:val="left" w:pos="2707"/>
              </w:tabs>
              <w:spacing w:line="278" w:lineRule="auto"/>
              <w:ind w:left="108" w:right="-15" w:firstLine="314"/>
              <w:rPr>
                <w:sz w:val="21"/>
              </w:rPr>
            </w:pPr>
            <w:r>
              <w:rPr>
                <w:sz w:val="21"/>
              </w:rPr>
              <w:t>《条例</w:t>
            </w:r>
            <w:r>
              <w:rPr>
                <w:spacing w:val="-25"/>
                <w:sz w:val="21"/>
              </w:rPr>
              <w:t>》</w:t>
            </w:r>
            <w:r>
              <w:rPr>
                <w:sz w:val="21"/>
              </w:rPr>
              <w:t>第</w:t>
            </w:r>
            <w:r>
              <w:rPr>
                <w:spacing w:val="-52"/>
                <w:sz w:val="21"/>
              </w:rPr>
              <w:t xml:space="preserve"> </w:t>
            </w:r>
            <w:r>
              <w:rPr>
                <w:sz w:val="21"/>
              </w:rPr>
              <w:t>4</w:t>
            </w:r>
            <w:r>
              <w:rPr>
                <w:spacing w:val="-55"/>
                <w:sz w:val="21"/>
              </w:rPr>
              <w:t xml:space="preserve"> </w:t>
            </w:r>
            <w:r>
              <w:rPr>
                <w:sz w:val="21"/>
              </w:rPr>
              <w:t>条第二款</w:t>
            </w:r>
            <w:r>
              <w:rPr>
                <w:sz w:val="21"/>
              </w:rPr>
              <w:tab/>
            </w:r>
            <w:r>
              <w:rPr>
                <w:sz w:val="21"/>
              </w:rPr>
              <w:t>生产经营单位应当遵守有关安全生产法律</w:t>
            </w:r>
            <w:r>
              <w:rPr>
                <w:spacing w:val="-25"/>
                <w:sz w:val="21"/>
              </w:rPr>
              <w:t>、</w:t>
            </w:r>
            <w:r>
              <w:rPr>
                <w:sz w:val="21"/>
              </w:rPr>
              <w:t>法规， 建立健全安全生产责任制和安全生产规章制度</w:t>
            </w:r>
            <w:r>
              <w:rPr>
                <w:spacing w:val="-25"/>
                <w:sz w:val="21"/>
              </w:rPr>
              <w:t>，</w:t>
            </w:r>
            <w:r>
              <w:rPr>
                <w:sz w:val="21"/>
              </w:rPr>
              <w:t>加强安全生产管理</w:t>
            </w:r>
            <w:r>
              <w:rPr>
                <w:spacing w:val="-25"/>
                <w:sz w:val="21"/>
              </w:rPr>
              <w:t>，</w:t>
            </w:r>
            <w:r>
              <w:rPr>
                <w:sz w:val="21"/>
              </w:rPr>
              <w:t>改善安全生产条件，推进安全生产科技化、标准化、信息化建设，提高安全生产水平， 确保安全生产。</w:t>
            </w:r>
          </w:p>
          <w:p>
            <w:pPr>
              <w:pStyle w:val="7"/>
              <w:spacing w:line="269" w:lineRule="exact"/>
              <w:ind w:left="108"/>
              <w:rPr>
                <w:sz w:val="21"/>
              </w:rPr>
            </w:pPr>
            <w:r>
              <w:rPr>
                <w:sz w:val="21"/>
              </w:rPr>
              <w:t>第 23 条。</w:t>
            </w:r>
          </w:p>
          <w:p>
            <w:pPr>
              <w:pStyle w:val="7"/>
              <w:tabs>
                <w:tab w:val="left" w:pos="2916"/>
              </w:tabs>
              <w:spacing w:before="42" w:line="278" w:lineRule="auto"/>
              <w:ind w:left="108" w:right="-15" w:firstLine="420"/>
              <w:rPr>
                <w:sz w:val="21"/>
              </w:rPr>
            </w:pPr>
            <w:r>
              <w:rPr>
                <w:sz w:val="21"/>
              </w:rPr>
              <w:t>《办法</w:t>
            </w:r>
            <w:r>
              <w:rPr>
                <w:spacing w:val="-25"/>
                <w:sz w:val="21"/>
              </w:rPr>
              <w:t>》</w:t>
            </w:r>
            <w:r>
              <w:rPr>
                <w:sz w:val="21"/>
              </w:rPr>
              <w:t>第</w:t>
            </w:r>
            <w:r>
              <w:rPr>
                <w:spacing w:val="-55"/>
                <w:sz w:val="21"/>
              </w:rPr>
              <w:t xml:space="preserve"> </w:t>
            </w:r>
            <w:r>
              <w:rPr>
                <w:sz w:val="21"/>
              </w:rPr>
              <w:t>12</w:t>
            </w:r>
            <w:r>
              <w:rPr>
                <w:spacing w:val="-53"/>
                <w:sz w:val="21"/>
              </w:rPr>
              <w:t xml:space="preserve"> </w:t>
            </w:r>
            <w:r>
              <w:rPr>
                <w:sz w:val="21"/>
              </w:rPr>
              <w:t>条第二款</w:t>
            </w:r>
            <w:r>
              <w:rPr>
                <w:sz w:val="21"/>
              </w:rPr>
              <w:tab/>
            </w:r>
            <w:r>
              <w:rPr>
                <w:sz w:val="21"/>
              </w:rPr>
              <w:t>对存在风险的工作场所</w:t>
            </w:r>
            <w:r>
              <w:rPr>
                <w:spacing w:val="-25"/>
                <w:sz w:val="21"/>
              </w:rPr>
              <w:t>、</w:t>
            </w:r>
            <w:r>
              <w:rPr>
                <w:sz w:val="21"/>
              </w:rPr>
              <w:t>岗位和有关设备设施， 应当设置明显警示标志，并强化危险源监测和预警。</w:t>
            </w:r>
          </w:p>
        </w:tc>
        <w:tc>
          <w:tcPr>
            <w:tcW w:w="2969" w:type="dxa"/>
            <w:vAlign w:val="top"/>
          </w:tcPr>
          <w:p>
            <w:pPr>
              <w:pStyle w:val="7"/>
              <w:rPr>
                <w:rFonts w:ascii="Times New Roman"/>
                <w:sz w:val="20"/>
              </w:rPr>
            </w:pPr>
          </w:p>
          <w:p>
            <w:pPr>
              <w:pStyle w:val="7"/>
              <w:rPr>
                <w:rFonts w:ascii="Times New Roman"/>
                <w:sz w:val="20"/>
              </w:rPr>
            </w:pPr>
          </w:p>
          <w:p>
            <w:pPr>
              <w:pStyle w:val="7"/>
              <w:spacing w:before="2"/>
              <w:rPr>
                <w:rFonts w:ascii="Times New Roman"/>
                <w:sz w:val="20"/>
              </w:rPr>
            </w:pPr>
          </w:p>
          <w:p>
            <w:pPr>
              <w:pStyle w:val="7"/>
              <w:spacing w:before="1" w:line="278" w:lineRule="auto"/>
              <w:ind w:left="108" w:right="-15" w:firstLine="208"/>
              <w:rPr>
                <w:sz w:val="21"/>
              </w:rPr>
            </w:pPr>
            <w:r>
              <w:rPr>
                <w:spacing w:val="-17"/>
                <w:sz w:val="21"/>
              </w:rPr>
              <w:t xml:space="preserve">《安法》第 </w:t>
            </w:r>
            <w:r>
              <w:rPr>
                <w:sz w:val="21"/>
              </w:rPr>
              <w:t>98</w:t>
            </w:r>
            <w:r>
              <w:rPr>
                <w:spacing w:val="-15"/>
                <w:sz w:val="21"/>
              </w:rPr>
              <w:t xml:space="preserve"> 条：责令限期</w:t>
            </w:r>
            <w:r>
              <w:rPr>
                <w:spacing w:val="-2"/>
                <w:sz w:val="21"/>
              </w:rPr>
              <w:t>改正，可以处一万元以上十万</w:t>
            </w:r>
            <w:r>
              <w:rPr>
                <w:spacing w:val="-10"/>
                <w:sz w:val="21"/>
              </w:rPr>
              <w:t xml:space="preserve">元以下的罚款；逾期未改正的， </w:t>
            </w:r>
            <w:r>
              <w:rPr>
                <w:spacing w:val="-1"/>
                <w:sz w:val="21"/>
              </w:rPr>
              <w:t>责令停产停业整顿，并处十万</w:t>
            </w:r>
            <w:r>
              <w:rPr>
                <w:sz w:val="21"/>
              </w:rPr>
              <w:t>元以上二十万元以下的罚款， 对其直接负责的主管人员和其他直接责任人员处二万元以上五万元以下的罚款；构成犯罪的，依照刑法有关规定追究刑事责任：</w:t>
            </w:r>
          </w:p>
        </w:tc>
        <w:tc>
          <w:tcPr>
            <w:tcW w:w="774"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67"/>
              <w:ind w:left="108"/>
              <w:rPr>
                <w:sz w:val="21"/>
              </w:rPr>
            </w:pPr>
            <w:r>
              <w:rPr>
                <w:spacing w:val="10"/>
                <w:sz w:val="21"/>
              </w:rPr>
              <w:t>涉 及</w:t>
            </w:r>
          </w:p>
          <w:p>
            <w:pPr>
              <w:pStyle w:val="7"/>
              <w:spacing w:before="43"/>
              <w:ind w:left="108"/>
              <w:rPr>
                <w:sz w:val="21"/>
              </w:rPr>
            </w:pPr>
            <w:r>
              <w:rPr>
                <w:spacing w:val="10"/>
                <w:sz w:val="21"/>
              </w:rPr>
              <w:t>重 大</w:t>
            </w:r>
          </w:p>
          <w:p>
            <w:pPr>
              <w:pStyle w:val="7"/>
              <w:spacing w:before="42"/>
              <w:ind w:left="108"/>
              <w:rPr>
                <w:sz w:val="21"/>
              </w:rPr>
            </w:pPr>
            <w:r>
              <w:rPr>
                <w:spacing w:val="10"/>
                <w:sz w:val="21"/>
              </w:rPr>
              <w:t>危 险</w:t>
            </w:r>
          </w:p>
          <w:p>
            <w:pPr>
              <w:pStyle w:val="7"/>
              <w:spacing w:before="43"/>
              <w:ind w:left="108"/>
              <w:rPr>
                <w:sz w:val="21"/>
              </w:rPr>
            </w:pPr>
            <w:r>
              <w:rPr>
                <w:spacing w:val="10"/>
                <w:sz w:val="21"/>
              </w:rPr>
              <w:t>源 的</w:t>
            </w:r>
          </w:p>
          <w:p>
            <w:pPr>
              <w:pStyle w:val="7"/>
              <w:spacing w:before="43" w:line="278" w:lineRule="auto"/>
              <w:ind w:left="108" w:right="24"/>
              <w:rPr>
                <w:sz w:val="21"/>
              </w:rPr>
            </w:pPr>
            <w:r>
              <w:rPr>
                <w:sz w:val="21"/>
              </w:rPr>
              <w:t>从 其规定。</w:t>
            </w:r>
          </w:p>
        </w:tc>
      </w:tr>
      <w:tr>
        <w:trPr>
          <w:trHeight w:val="2806" w:hRule="atLeast"/>
        </w:trPr>
        <w:tc>
          <w:tcPr>
            <w:tcW w:w="657"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18"/>
              <w:ind w:left="96" w:right="90"/>
              <w:jc w:val="center"/>
              <w:rPr>
                <w:sz w:val="21"/>
              </w:rPr>
            </w:pPr>
            <w:r>
              <w:rPr>
                <w:sz w:val="21"/>
              </w:rPr>
              <w:t>42</w:t>
            </w:r>
          </w:p>
        </w:tc>
        <w:tc>
          <w:tcPr>
            <w:tcW w:w="656" w:type="dxa"/>
            <w:vMerge w:val="continue"/>
            <w:tcBorders>
              <w:top w:val="nil"/>
            </w:tcBorders>
            <w:textDirection w:val="tbRl"/>
            <w:vAlign w:val="top"/>
          </w:tcPr>
          <w:p>
            <w:pPr>
              <w:rPr>
                <w:sz w:val="2"/>
                <w:szCs w:val="2"/>
              </w:rPr>
            </w:pPr>
          </w:p>
        </w:tc>
        <w:tc>
          <w:tcPr>
            <w:tcW w:w="711"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8"/>
              <w:rPr>
                <w:rFonts w:ascii="Times New Roman"/>
                <w:sz w:val="16"/>
              </w:rPr>
            </w:pPr>
          </w:p>
          <w:p>
            <w:pPr>
              <w:pStyle w:val="7"/>
              <w:spacing w:line="278" w:lineRule="auto"/>
              <w:ind w:left="108" w:right="172"/>
              <w:rPr>
                <w:sz w:val="21"/>
              </w:rPr>
            </w:pPr>
            <w:r>
              <w:rPr>
                <w:sz w:val="21"/>
              </w:rPr>
              <w:t>信息管理</w:t>
            </w:r>
          </w:p>
        </w:tc>
        <w:tc>
          <w:tcPr>
            <w:tcW w:w="2145" w:type="dxa"/>
            <w:vAlign w:val="top"/>
          </w:tcPr>
          <w:p>
            <w:pPr>
              <w:pStyle w:val="7"/>
              <w:spacing w:before="20" w:line="278" w:lineRule="auto"/>
              <w:ind w:left="108" w:right="97" w:firstLine="314"/>
              <w:jc w:val="both"/>
              <w:rPr>
                <w:sz w:val="21"/>
              </w:rPr>
            </w:pPr>
            <w:r>
              <w:rPr>
                <w:spacing w:val="-11"/>
                <w:sz w:val="21"/>
              </w:rPr>
              <w:t>企业基本信息、双</w:t>
            </w:r>
            <w:r>
              <w:rPr>
                <w:spacing w:val="29"/>
                <w:sz w:val="21"/>
              </w:rPr>
              <w:t>重预防体系组织机</w:t>
            </w:r>
            <w:r>
              <w:rPr>
                <w:spacing w:val="1"/>
                <w:sz w:val="21"/>
              </w:rPr>
              <w:t>构、管理制度、风险隐患数据库、分析评价记录、隐患排查治理记录、风险分级管控清单和隐患排查治理台账等信息完整，</w:t>
            </w:r>
          </w:p>
          <w:p>
            <w:pPr>
              <w:pStyle w:val="7"/>
              <w:spacing w:line="268" w:lineRule="exact"/>
              <w:ind w:left="108"/>
              <w:rPr>
                <w:sz w:val="21"/>
              </w:rPr>
            </w:pPr>
            <w:r>
              <w:rPr>
                <w:sz w:val="21"/>
              </w:rPr>
              <w:t>准确。</w:t>
            </w:r>
          </w:p>
        </w:tc>
        <w:tc>
          <w:tcPr>
            <w:tcW w:w="7306" w:type="dxa"/>
            <w:vAlign w:val="top"/>
          </w:tcPr>
          <w:p>
            <w:pPr>
              <w:pStyle w:val="7"/>
              <w:spacing w:before="10"/>
              <w:rPr>
                <w:rFonts w:ascii="Times New Roman"/>
                <w:sz w:val="28"/>
              </w:rPr>
            </w:pPr>
          </w:p>
          <w:p>
            <w:pPr>
              <w:pStyle w:val="7"/>
              <w:spacing w:line="278" w:lineRule="auto"/>
              <w:ind w:left="108" w:right="95" w:firstLine="314"/>
              <w:jc w:val="both"/>
              <w:rPr>
                <w:sz w:val="21"/>
              </w:rPr>
            </w:pPr>
            <w:r>
              <w:rPr>
                <w:spacing w:val="-9"/>
                <w:sz w:val="21"/>
              </w:rPr>
              <w:t xml:space="preserve">《规定》第 </w:t>
            </w:r>
            <w:r>
              <w:rPr>
                <w:sz w:val="21"/>
              </w:rPr>
              <w:t>27</w:t>
            </w:r>
            <w:r>
              <w:rPr>
                <w:spacing w:val="-6"/>
                <w:sz w:val="21"/>
              </w:rPr>
              <w:t xml:space="preserve"> 条 生产经营单位应当建立安全生产风险管控机制,定期进</w:t>
            </w:r>
            <w:r>
              <w:rPr>
                <w:spacing w:val="2"/>
                <w:w w:val="95"/>
                <w:sz w:val="21"/>
              </w:rPr>
              <w:t xml:space="preserve">行安全生产风险排查,对排查出的风险点按照危险性确定风险等级,并采取相  </w:t>
            </w:r>
            <w:r>
              <w:rPr>
                <w:spacing w:val="2"/>
                <w:sz w:val="21"/>
              </w:rPr>
              <w:t>应的风险管控措施,对风险点进行公告警示。</w:t>
            </w:r>
          </w:p>
          <w:p>
            <w:pPr>
              <w:pStyle w:val="7"/>
              <w:spacing w:line="278" w:lineRule="auto"/>
              <w:ind w:left="108" w:right="95" w:firstLine="429"/>
              <w:jc w:val="both"/>
              <w:rPr>
                <w:sz w:val="21"/>
              </w:rPr>
            </w:pPr>
            <w:r>
              <w:rPr>
                <w:spacing w:val="3"/>
                <w:w w:val="95"/>
                <w:sz w:val="21"/>
              </w:rPr>
              <w:t xml:space="preserve">高危生产经营单位应当利用先进技术和方法建立安全生产风险监测与预  </w:t>
            </w:r>
            <w:r>
              <w:rPr>
                <w:spacing w:val="-2"/>
                <w:w w:val="95"/>
                <w:sz w:val="21"/>
              </w:rPr>
              <w:t xml:space="preserve">警监控系统,实现动态管理。发现事故征兆等险情时,应当立即发布预警预报信  </w:t>
            </w:r>
            <w:r>
              <w:rPr>
                <w:sz w:val="21"/>
              </w:rPr>
              <w:t>息。生产现场带班人员、班组长和调度人员,在遇到险情时第一时间享有下达停产撤人命令的直接决策权和指挥权。</w:t>
            </w:r>
          </w:p>
        </w:tc>
        <w:tc>
          <w:tcPr>
            <w:tcW w:w="2969"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
              <w:rPr>
                <w:rFonts w:ascii="Times New Roman"/>
                <w:sz w:val="23"/>
              </w:rPr>
            </w:pPr>
          </w:p>
          <w:p>
            <w:pPr>
              <w:pStyle w:val="7"/>
              <w:spacing w:before="1" w:line="278" w:lineRule="auto"/>
              <w:ind w:left="108" w:right="-15"/>
              <w:jc w:val="both"/>
              <w:rPr>
                <w:sz w:val="21"/>
              </w:rPr>
            </w:pPr>
            <w:r>
              <w:rPr>
                <w:sz w:val="21"/>
              </w:rPr>
              <w:t>检查发现存在不符合有关法律法规规定、标准规范要求或企</w:t>
            </w:r>
            <w:r>
              <w:rPr>
                <w:spacing w:val="-9"/>
                <w:sz w:val="21"/>
              </w:rPr>
              <w:t>业实际情况的，责令限期整改。</w:t>
            </w:r>
          </w:p>
        </w:tc>
        <w:tc>
          <w:tcPr>
            <w:tcW w:w="774" w:type="dxa"/>
            <w:vAlign w:val="top"/>
          </w:tcPr>
          <w:p>
            <w:pPr>
              <w:pStyle w:val="7"/>
              <w:rPr>
                <w:rFonts w:ascii="Times New Roman"/>
                <w:sz w:val="20"/>
              </w:rPr>
            </w:pPr>
          </w:p>
        </w:tc>
      </w:tr>
    </w:tbl>
    <w:p>
      <w:pPr>
        <w:spacing w:after="0"/>
        <w:rPr>
          <w:rFonts w:ascii="Times New Roman"/>
          <w:sz w:val="20"/>
        </w:rPr>
        <w:sectPr>
          <w:pgSz w:w="16840" w:h="11910" w:orient="landscape"/>
          <w:pgMar w:top="1100" w:right="700" w:bottom="1100" w:left="700" w:header="0" w:footer="907"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W w:w="15218"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7"/>
        <w:gridCol w:w="656"/>
        <w:gridCol w:w="711"/>
        <w:gridCol w:w="2145"/>
        <w:gridCol w:w="7306"/>
        <w:gridCol w:w="2969"/>
        <w:gridCol w:w="774"/>
      </w:tblGrid>
      <w:tr>
        <w:trPr>
          <w:trHeight w:val="523" w:hRule="atLeast"/>
        </w:trPr>
        <w:tc>
          <w:tcPr>
            <w:tcW w:w="657" w:type="dxa"/>
            <w:vAlign w:val="top"/>
          </w:tcPr>
          <w:p>
            <w:pPr>
              <w:pStyle w:val="7"/>
              <w:spacing w:before="127"/>
              <w:ind w:left="97" w:right="90"/>
              <w:jc w:val="center"/>
              <w:rPr>
                <w:rFonts w:hint="eastAsia" w:ascii="黑体" w:eastAsia="黑体"/>
                <w:sz w:val="21"/>
              </w:rPr>
            </w:pPr>
            <w:r>
              <w:rPr>
                <w:rFonts w:hint="eastAsia" w:ascii="黑体" w:eastAsia="黑体"/>
                <w:sz w:val="21"/>
              </w:rPr>
              <w:t>序号</w:t>
            </w:r>
          </w:p>
        </w:tc>
        <w:tc>
          <w:tcPr>
            <w:tcW w:w="656" w:type="dxa"/>
            <w:vAlign w:val="top"/>
          </w:tcPr>
          <w:p>
            <w:pPr>
              <w:pStyle w:val="7"/>
              <w:spacing w:before="127"/>
              <w:ind w:left="116"/>
              <w:rPr>
                <w:rFonts w:hint="eastAsia" w:ascii="黑体" w:eastAsia="黑体"/>
                <w:sz w:val="21"/>
              </w:rPr>
            </w:pPr>
            <w:r>
              <w:rPr>
                <w:rFonts w:hint="eastAsia" w:ascii="黑体" w:eastAsia="黑体"/>
                <w:sz w:val="21"/>
              </w:rPr>
              <w:t>类别</w:t>
            </w:r>
          </w:p>
        </w:tc>
        <w:tc>
          <w:tcPr>
            <w:tcW w:w="711" w:type="dxa"/>
            <w:vAlign w:val="top"/>
          </w:tcPr>
          <w:p>
            <w:pPr>
              <w:pStyle w:val="7"/>
              <w:spacing w:before="127"/>
              <w:ind w:left="144"/>
              <w:rPr>
                <w:rFonts w:hint="eastAsia" w:ascii="黑体" w:eastAsia="黑体"/>
                <w:sz w:val="21"/>
              </w:rPr>
            </w:pPr>
            <w:r>
              <w:rPr>
                <w:rFonts w:hint="eastAsia" w:ascii="黑体" w:eastAsia="黑体"/>
                <w:sz w:val="21"/>
              </w:rPr>
              <w:t>项目</w:t>
            </w:r>
          </w:p>
        </w:tc>
        <w:tc>
          <w:tcPr>
            <w:tcW w:w="2145" w:type="dxa"/>
            <w:vAlign w:val="top"/>
          </w:tcPr>
          <w:p>
            <w:pPr>
              <w:pStyle w:val="7"/>
              <w:spacing w:before="127"/>
              <w:ind w:left="650"/>
              <w:rPr>
                <w:rFonts w:hint="eastAsia" w:ascii="黑体" w:eastAsia="黑体"/>
                <w:sz w:val="21"/>
              </w:rPr>
            </w:pPr>
            <w:r>
              <w:rPr>
                <w:rFonts w:hint="eastAsia" w:ascii="黑体" w:eastAsia="黑体"/>
                <w:sz w:val="21"/>
              </w:rPr>
              <w:t>检查内容</w:t>
            </w:r>
          </w:p>
        </w:tc>
        <w:tc>
          <w:tcPr>
            <w:tcW w:w="7306" w:type="dxa"/>
            <w:vAlign w:val="top"/>
          </w:tcPr>
          <w:p>
            <w:pPr>
              <w:pStyle w:val="7"/>
              <w:spacing w:before="127"/>
              <w:ind w:left="3212" w:right="3204"/>
              <w:jc w:val="center"/>
              <w:rPr>
                <w:rFonts w:hint="eastAsia" w:ascii="黑体" w:eastAsia="黑体"/>
                <w:sz w:val="21"/>
              </w:rPr>
            </w:pPr>
            <w:r>
              <w:rPr>
                <w:rFonts w:hint="eastAsia" w:ascii="黑体" w:eastAsia="黑体"/>
                <w:sz w:val="21"/>
              </w:rPr>
              <w:t>检查依据</w:t>
            </w:r>
          </w:p>
        </w:tc>
        <w:tc>
          <w:tcPr>
            <w:tcW w:w="2969" w:type="dxa"/>
            <w:vAlign w:val="top"/>
          </w:tcPr>
          <w:p>
            <w:pPr>
              <w:pStyle w:val="7"/>
              <w:spacing w:before="127"/>
              <w:ind w:left="537"/>
              <w:rPr>
                <w:rFonts w:hint="eastAsia" w:ascii="黑体" w:eastAsia="黑体"/>
                <w:sz w:val="21"/>
              </w:rPr>
            </w:pPr>
            <w:r>
              <w:rPr>
                <w:rFonts w:hint="eastAsia" w:ascii="黑体" w:eastAsia="黑体"/>
                <w:sz w:val="21"/>
              </w:rPr>
              <w:t>处罚依据和整改建议</w:t>
            </w:r>
          </w:p>
        </w:tc>
        <w:tc>
          <w:tcPr>
            <w:tcW w:w="774" w:type="dxa"/>
            <w:vAlign w:val="top"/>
          </w:tcPr>
          <w:p>
            <w:pPr>
              <w:pStyle w:val="7"/>
              <w:spacing w:before="127"/>
              <w:ind w:left="177"/>
              <w:rPr>
                <w:rFonts w:hint="eastAsia" w:ascii="黑体" w:eastAsia="黑体"/>
                <w:sz w:val="21"/>
              </w:rPr>
            </w:pPr>
            <w:r>
              <w:rPr>
                <w:rFonts w:hint="eastAsia" w:ascii="黑体" w:eastAsia="黑体"/>
                <w:sz w:val="21"/>
              </w:rPr>
              <w:t>备注</w:t>
            </w:r>
          </w:p>
        </w:tc>
      </w:tr>
      <w:tr>
        <w:trPr>
          <w:trHeight w:val="2905" w:hRule="atLeast"/>
        </w:trPr>
        <w:tc>
          <w:tcPr>
            <w:tcW w:w="657"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67"/>
              <w:ind w:left="96" w:right="90"/>
              <w:jc w:val="center"/>
              <w:rPr>
                <w:sz w:val="21"/>
              </w:rPr>
            </w:pPr>
            <w:r>
              <w:rPr>
                <w:sz w:val="21"/>
              </w:rPr>
              <w:t>43</w:t>
            </w:r>
          </w:p>
        </w:tc>
        <w:tc>
          <w:tcPr>
            <w:tcW w:w="656" w:type="dxa"/>
            <w:vMerge w:val="restart"/>
            <w:textDirection w:val="tbRl"/>
            <w:vAlign w:val="top"/>
          </w:tcPr>
          <w:p>
            <w:pPr>
              <w:pStyle w:val="7"/>
              <w:spacing w:before="34"/>
              <w:ind w:left="1603"/>
              <w:rPr>
                <w:rFonts w:hint="eastAsia" w:ascii="微软雅黑" w:eastAsia="微软雅黑"/>
                <w:b/>
                <w:sz w:val="21"/>
              </w:rPr>
            </w:pPr>
            <w:r>
              <w:rPr>
                <w:rFonts w:hint="eastAsia" w:ascii="微软雅黑" w:eastAsia="微软雅黑"/>
                <w:b/>
                <w:sz w:val="21"/>
              </w:rPr>
              <w:t>线 上 线 下 的 智 能 化 信 息 建 设</w:t>
            </w:r>
          </w:p>
        </w:tc>
        <w:tc>
          <w:tcPr>
            <w:tcW w:w="711"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0"/>
              <w:rPr>
                <w:rFonts w:ascii="Times New Roman"/>
                <w:sz w:val="20"/>
              </w:rPr>
            </w:pPr>
          </w:p>
          <w:p>
            <w:pPr>
              <w:pStyle w:val="7"/>
              <w:spacing w:before="1" w:line="278" w:lineRule="auto"/>
              <w:ind w:left="108" w:right="172"/>
              <w:rPr>
                <w:sz w:val="21"/>
              </w:rPr>
            </w:pPr>
            <w:r>
              <w:rPr>
                <w:sz w:val="21"/>
              </w:rPr>
              <w:t>即时预警</w:t>
            </w:r>
          </w:p>
        </w:tc>
        <w:tc>
          <w:tcPr>
            <w:tcW w:w="2145"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59" w:line="278" w:lineRule="auto"/>
              <w:ind w:left="108" w:right="97"/>
              <w:jc w:val="both"/>
              <w:rPr>
                <w:sz w:val="21"/>
              </w:rPr>
            </w:pPr>
            <w:r>
              <w:rPr>
                <w:sz w:val="21"/>
              </w:rPr>
              <w:t>应实现对重大风险隐患的动态管理和对各级责任人和管理人员的即时预警</w:t>
            </w:r>
          </w:p>
        </w:tc>
        <w:tc>
          <w:tcPr>
            <w:tcW w:w="7306" w:type="dxa"/>
            <w:vAlign w:val="top"/>
          </w:tcPr>
          <w:p>
            <w:pPr>
              <w:pStyle w:val="7"/>
              <w:rPr>
                <w:rFonts w:ascii="Times New Roman"/>
                <w:sz w:val="20"/>
              </w:rPr>
            </w:pPr>
          </w:p>
          <w:p>
            <w:pPr>
              <w:pStyle w:val="7"/>
              <w:spacing w:before="151" w:line="278" w:lineRule="auto"/>
              <w:ind w:left="108" w:right="95" w:firstLine="314"/>
              <w:jc w:val="both"/>
              <w:rPr>
                <w:sz w:val="21"/>
              </w:rPr>
            </w:pPr>
            <w:r>
              <w:rPr>
                <w:spacing w:val="-9"/>
                <w:sz w:val="21"/>
              </w:rPr>
              <w:t xml:space="preserve">《规定》第 </w:t>
            </w:r>
            <w:r>
              <w:rPr>
                <w:sz w:val="21"/>
              </w:rPr>
              <w:t>27</w:t>
            </w:r>
            <w:r>
              <w:rPr>
                <w:spacing w:val="-6"/>
                <w:sz w:val="21"/>
              </w:rPr>
              <w:t xml:space="preserve"> 条 生产经营单位应当建立安全生产风险管控机制,定期进</w:t>
            </w:r>
            <w:r>
              <w:rPr>
                <w:spacing w:val="2"/>
                <w:w w:val="95"/>
                <w:sz w:val="21"/>
              </w:rPr>
              <w:t xml:space="preserve">行安全生产风险排查,对排查出的风险点按照危险性确定风险等级,并采取相  </w:t>
            </w:r>
            <w:r>
              <w:rPr>
                <w:spacing w:val="2"/>
                <w:sz w:val="21"/>
              </w:rPr>
              <w:t>应的风险管控措施,对风险点进行公告警示。</w:t>
            </w:r>
          </w:p>
          <w:p>
            <w:pPr>
              <w:pStyle w:val="7"/>
              <w:spacing w:line="278" w:lineRule="auto"/>
              <w:ind w:left="108" w:right="97" w:firstLine="849"/>
              <w:jc w:val="both"/>
              <w:rPr>
                <w:sz w:val="21"/>
              </w:rPr>
            </w:pPr>
            <w:r>
              <w:rPr>
                <w:spacing w:val="3"/>
                <w:w w:val="95"/>
                <w:sz w:val="21"/>
              </w:rPr>
              <w:t xml:space="preserve">高危生产经营单位应当利用先进技术和方法建立安全生产风险监测  </w:t>
            </w:r>
            <w:r>
              <w:rPr>
                <w:spacing w:val="-4"/>
                <w:w w:val="95"/>
                <w:sz w:val="21"/>
              </w:rPr>
              <w:t xml:space="preserve">与预警监控系统,实现动态管理。发现事故征兆等险情时,应当立即发布预警预  </w:t>
            </w:r>
            <w:r>
              <w:rPr>
                <w:spacing w:val="-2"/>
                <w:sz w:val="21"/>
              </w:rPr>
              <w:t>报信息。生产现场带班人员、班组长和调度人员,在遇到险情时第一时间享有下达停产撤人命令的直接决策权和指挥权。</w:t>
            </w:r>
          </w:p>
        </w:tc>
        <w:tc>
          <w:tcPr>
            <w:tcW w:w="2969"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4"/>
              <w:rPr>
                <w:rFonts w:ascii="Times New Roman"/>
                <w:sz w:val="27"/>
              </w:rPr>
            </w:pPr>
          </w:p>
          <w:p>
            <w:pPr>
              <w:pStyle w:val="7"/>
              <w:spacing w:line="278" w:lineRule="auto"/>
              <w:ind w:left="108" w:right="-15"/>
              <w:jc w:val="both"/>
              <w:rPr>
                <w:sz w:val="21"/>
              </w:rPr>
            </w:pPr>
            <w:r>
              <w:rPr>
                <w:sz w:val="21"/>
              </w:rPr>
              <w:t>检查发现存在不符合有关法律法规规定、标准规范要求或企</w:t>
            </w:r>
            <w:r>
              <w:rPr>
                <w:spacing w:val="-9"/>
                <w:sz w:val="21"/>
              </w:rPr>
              <w:t>业实际情况的，责令限期整改。</w:t>
            </w:r>
          </w:p>
        </w:tc>
        <w:tc>
          <w:tcPr>
            <w:tcW w:w="774" w:type="dxa"/>
            <w:vAlign w:val="top"/>
          </w:tcPr>
          <w:p>
            <w:pPr>
              <w:pStyle w:val="7"/>
              <w:rPr>
                <w:rFonts w:ascii="Times New Roman"/>
                <w:sz w:val="20"/>
              </w:rPr>
            </w:pPr>
          </w:p>
        </w:tc>
      </w:tr>
      <w:tr>
        <w:trPr>
          <w:trHeight w:val="3666" w:hRule="atLeast"/>
        </w:trPr>
        <w:tc>
          <w:tcPr>
            <w:tcW w:w="657"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9"/>
              <w:rPr>
                <w:rFonts w:ascii="Times New Roman"/>
                <w:sz w:val="27"/>
              </w:rPr>
            </w:pPr>
          </w:p>
          <w:p>
            <w:pPr>
              <w:pStyle w:val="7"/>
              <w:ind w:left="96" w:right="90"/>
              <w:jc w:val="center"/>
              <w:rPr>
                <w:sz w:val="21"/>
              </w:rPr>
            </w:pPr>
            <w:r>
              <w:rPr>
                <w:sz w:val="21"/>
              </w:rPr>
              <w:t>44</w:t>
            </w:r>
          </w:p>
        </w:tc>
        <w:tc>
          <w:tcPr>
            <w:tcW w:w="656" w:type="dxa"/>
            <w:vMerge w:val="continue"/>
            <w:tcBorders>
              <w:top w:val="nil"/>
            </w:tcBorders>
            <w:textDirection w:val="tbRl"/>
            <w:vAlign w:val="top"/>
          </w:tcPr>
          <w:p>
            <w:pPr>
              <w:rPr>
                <w:sz w:val="2"/>
                <w:szCs w:val="2"/>
              </w:rPr>
            </w:pPr>
          </w:p>
        </w:tc>
        <w:tc>
          <w:tcPr>
            <w:tcW w:w="711"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63" w:line="278" w:lineRule="auto"/>
              <w:ind w:left="108" w:right="172"/>
              <w:rPr>
                <w:sz w:val="21"/>
              </w:rPr>
            </w:pPr>
            <w:r>
              <w:rPr>
                <w:sz w:val="21"/>
              </w:rPr>
              <w:t>互联互通</w:t>
            </w:r>
          </w:p>
        </w:tc>
        <w:tc>
          <w:tcPr>
            <w:tcW w:w="2145"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0"/>
              <w:rPr>
                <w:rFonts w:ascii="Times New Roman"/>
                <w:sz w:val="19"/>
              </w:rPr>
            </w:pPr>
          </w:p>
          <w:p>
            <w:pPr>
              <w:pStyle w:val="7"/>
              <w:spacing w:before="1" w:line="278" w:lineRule="auto"/>
              <w:ind w:left="108" w:right="97"/>
              <w:jc w:val="both"/>
              <w:rPr>
                <w:sz w:val="21"/>
              </w:rPr>
            </w:pPr>
            <w:r>
              <w:rPr>
                <w:sz w:val="21"/>
              </w:rPr>
              <w:t>企业信息化平台应与相关监管部门信息平台对接，每月向负有安全生产监督管理职责的部门报告重大风险和重大隐患。</w:t>
            </w:r>
          </w:p>
        </w:tc>
        <w:tc>
          <w:tcPr>
            <w:tcW w:w="7306"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7"/>
              <w:rPr>
                <w:rFonts w:ascii="Times New Roman"/>
                <w:sz w:val="20"/>
              </w:rPr>
            </w:pPr>
          </w:p>
          <w:p>
            <w:pPr>
              <w:pStyle w:val="7"/>
              <w:spacing w:line="278" w:lineRule="auto"/>
              <w:ind w:left="108" w:right="97" w:firstLine="314"/>
              <w:jc w:val="both"/>
              <w:rPr>
                <w:sz w:val="21"/>
              </w:rPr>
            </w:pPr>
            <w:r>
              <w:rPr>
                <w:spacing w:val="-8"/>
                <w:sz w:val="21"/>
              </w:rPr>
              <w:t xml:space="preserve">《安法》第 </w:t>
            </w:r>
            <w:r>
              <w:rPr>
                <w:sz w:val="21"/>
              </w:rPr>
              <w:t>37</w:t>
            </w:r>
            <w:r>
              <w:rPr>
                <w:spacing w:val="-6"/>
                <w:sz w:val="21"/>
              </w:rPr>
              <w:t xml:space="preserve"> 条第二款 ：生产经营单位应当按照国家有关规定将本单位</w:t>
            </w:r>
            <w:r>
              <w:rPr>
                <w:spacing w:val="-10"/>
                <w:w w:val="95"/>
                <w:sz w:val="21"/>
              </w:rPr>
              <w:t xml:space="preserve">重大危险源及有关安全措施、应急措施报有关地方人民政府安全生产监督管理  </w:t>
            </w:r>
            <w:r>
              <w:rPr>
                <w:spacing w:val="-10"/>
                <w:sz w:val="21"/>
              </w:rPr>
              <w:t>部门和有关部门备案。</w:t>
            </w:r>
          </w:p>
        </w:tc>
        <w:tc>
          <w:tcPr>
            <w:tcW w:w="2969" w:type="dxa"/>
            <w:vAlign w:val="top"/>
          </w:tcPr>
          <w:p>
            <w:pPr>
              <w:pStyle w:val="7"/>
              <w:rPr>
                <w:rFonts w:ascii="Times New Roman"/>
                <w:sz w:val="20"/>
              </w:rPr>
            </w:pPr>
          </w:p>
          <w:p>
            <w:pPr>
              <w:pStyle w:val="7"/>
              <w:rPr>
                <w:rFonts w:ascii="Times New Roman"/>
                <w:sz w:val="20"/>
              </w:rPr>
            </w:pPr>
          </w:p>
          <w:p>
            <w:pPr>
              <w:pStyle w:val="7"/>
              <w:spacing w:before="147" w:line="278" w:lineRule="auto"/>
              <w:ind w:left="108" w:right="95" w:firstLine="420"/>
              <w:jc w:val="both"/>
              <w:rPr>
                <w:sz w:val="21"/>
              </w:rPr>
            </w:pPr>
            <w:r>
              <w:rPr>
                <w:spacing w:val="2"/>
                <w:sz w:val="21"/>
              </w:rPr>
              <w:t xml:space="preserve">《办法》第 </w:t>
            </w:r>
            <w:r>
              <w:rPr>
                <w:sz w:val="21"/>
              </w:rPr>
              <w:t>28</w:t>
            </w:r>
            <w:r>
              <w:rPr>
                <w:spacing w:val="-17"/>
                <w:sz w:val="21"/>
              </w:rPr>
              <w:t xml:space="preserve"> 条第 </w:t>
            </w:r>
            <w:r>
              <w:rPr>
                <w:sz w:val="21"/>
              </w:rPr>
              <w:t>1</w:t>
            </w:r>
            <w:r>
              <w:rPr>
                <w:spacing w:val="-27"/>
                <w:sz w:val="21"/>
              </w:rPr>
              <w:t xml:space="preserve"> 项</w:t>
            </w:r>
            <w:r>
              <w:rPr>
                <w:spacing w:val="-1"/>
                <w:sz w:val="21"/>
              </w:rPr>
              <w:t>责令限期改正，可以处一万元以上五万元以下的罚款；逾期未改正的，处五万元以上十万元以下的罚款，对其直接负责的主管人员和其他直接责任人员处一万元以上二万元以下的</w:t>
            </w:r>
            <w:r>
              <w:rPr>
                <w:sz w:val="21"/>
              </w:rPr>
              <w:t>罚款。</w:t>
            </w:r>
          </w:p>
        </w:tc>
        <w:tc>
          <w:tcPr>
            <w:tcW w:w="774" w:type="dxa"/>
            <w:vAlign w:val="top"/>
          </w:tcPr>
          <w:p>
            <w:pPr>
              <w:pStyle w:val="7"/>
              <w:rPr>
                <w:rFonts w:ascii="Times New Roman"/>
                <w:sz w:val="20"/>
              </w:rPr>
            </w:pPr>
          </w:p>
        </w:tc>
      </w:tr>
    </w:tbl>
    <w:p>
      <w:pPr>
        <w:spacing w:after="0"/>
        <w:rPr>
          <w:rFonts w:ascii="Times New Roman"/>
          <w:sz w:val="20"/>
        </w:rPr>
        <w:sectPr>
          <w:pgSz w:w="16840" w:h="11910" w:orient="landscape"/>
          <w:pgMar w:top="1100" w:right="700" w:bottom="1100" w:left="700" w:header="0" w:footer="907"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W w:w="15218"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7"/>
        <w:gridCol w:w="656"/>
        <w:gridCol w:w="711"/>
        <w:gridCol w:w="2145"/>
        <w:gridCol w:w="7306"/>
        <w:gridCol w:w="2969"/>
        <w:gridCol w:w="774"/>
      </w:tblGrid>
      <w:tr>
        <w:trPr>
          <w:trHeight w:val="523" w:hRule="atLeast"/>
        </w:trPr>
        <w:tc>
          <w:tcPr>
            <w:tcW w:w="657" w:type="dxa"/>
            <w:vAlign w:val="top"/>
          </w:tcPr>
          <w:p>
            <w:pPr>
              <w:pStyle w:val="7"/>
              <w:spacing w:before="127"/>
              <w:ind w:left="97" w:right="90"/>
              <w:jc w:val="center"/>
              <w:rPr>
                <w:rFonts w:hint="eastAsia" w:ascii="黑体" w:eastAsia="黑体"/>
                <w:sz w:val="21"/>
              </w:rPr>
            </w:pPr>
            <w:r>
              <w:rPr>
                <w:rFonts w:hint="eastAsia" w:ascii="黑体" w:eastAsia="黑体"/>
                <w:sz w:val="21"/>
              </w:rPr>
              <w:t>序号</w:t>
            </w:r>
          </w:p>
        </w:tc>
        <w:tc>
          <w:tcPr>
            <w:tcW w:w="656" w:type="dxa"/>
            <w:vAlign w:val="top"/>
          </w:tcPr>
          <w:p>
            <w:pPr>
              <w:pStyle w:val="7"/>
              <w:spacing w:before="127"/>
              <w:ind w:left="116"/>
              <w:rPr>
                <w:rFonts w:hint="eastAsia" w:ascii="黑体" w:eastAsia="黑体"/>
                <w:sz w:val="21"/>
              </w:rPr>
            </w:pPr>
            <w:r>
              <w:rPr>
                <w:rFonts w:hint="eastAsia" w:ascii="黑体" w:eastAsia="黑体"/>
                <w:sz w:val="21"/>
              </w:rPr>
              <w:t>类别</w:t>
            </w:r>
          </w:p>
        </w:tc>
        <w:tc>
          <w:tcPr>
            <w:tcW w:w="711" w:type="dxa"/>
            <w:vAlign w:val="top"/>
          </w:tcPr>
          <w:p>
            <w:pPr>
              <w:pStyle w:val="7"/>
              <w:spacing w:before="127"/>
              <w:ind w:left="144"/>
              <w:rPr>
                <w:rFonts w:hint="eastAsia" w:ascii="黑体" w:eastAsia="黑体"/>
                <w:sz w:val="21"/>
              </w:rPr>
            </w:pPr>
            <w:r>
              <w:rPr>
                <w:rFonts w:hint="eastAsia" w:ascii="黑体" w:eastAsia="黑体"/>
                <w:sz w:val="21"/>
              </w:rPr>
              <w:t>项目</w:t>
            </w:r>
          </w:p>
        </w:tc>
        <w:tc>
          <w:tcPr>
            <w:tcW w:w="2145" w:type="dxa"/>
            <w:vAlign w:val="top"/>
          </w:tcPr>
          <w:p>
            <w:pPr>
              <w:pStyle w:val="7"/>
              <w:spacing w:before="127"/>
              <w:ind w:left="650"/>
              <w:rPr>
                <w:rFonts w:hint="eastAsia" w:ascii="黑体" w:eastAsia="黑体"/>
                <w:sz w:val="21"/>
              </w:rPr>
            </w:pPr>
            <w:r>
              <w:rPr>
                <w:rFonts w:hint="eastAsia" w:ascii="黑体" w:eastAsia="黑体"/>
                <w:sz w:val="21"/>
              </w:rPr>
              <w:t>检查内容</w:t>
            </w:r>
          </w:p>
        </w:tc>
        <w:tc>
          <w:tcPr>
            <w:tcW w:w="7306" w:type="dxa"/>
            <w:vAlign w:val="top"/>
          </w:tcPr>
          <w:p>
            <w:pPr>
              <w:pStyle w:val="7"/>
              <w:spacing w:before="127"/>
              <w:ind w:left="3212" w:right="3204"/>
              <w:jc w:val="center"/>
              <w:rPr>
                <w:rFonts w:hint="eastAsia" w:ascii="黑体" w:eastAsia="黑体"/>
                <w:sz w:val="21"/>
              </w:rPr>
            </w:pPr>
            <w:r>
              <w:rPr>
                <w:rFonts w:hint="eastAsia" w:ascii="黑体" w:eastAsia="黑体"/>
                <w:sz w:val="21"/>
              </w:rPr>
              <w:t>检查依据</w:t>
            </w:r>
          </w:p>
        </w:tc>
        <w:tc>
          <w:tcPr>
            <w:tcW w:w="2969" w:type="dxa"/>
            <w:vAlign w:val="top"/>
          </w:tcPr>
          <w:p>
            <w:pPr>
              <w:pStyle w:val="7"/>
              <w:spacing w:before="127"/>
              <w:ind w:left="537"/>
              <w:rPr>
                <w:rFonts w:hint="eastAsia" w:ascii="黑体" w:eastAsia="黑体"/>
                <w:sz w:val="21"/>
              </w:rPr>
            </w:pPr>
            <w:r>
              <w:rPr>
                <w:rFonts w:hint="eastAsia" w:ascii="黑体" w:eastAsia="黑体"/>
                <w:sz w:val="21"/>
              </w:rPr>
              <w:t>处罚依据和整改建议</w:t>
            </w:r>
          </w:p>
        </w:tc>
        <w:tc>
          <w:tcPr>
            <w:tcW w:w="774" w:type="dxa"/>
            <w:vAlign w:val="top"/>
          </w:tcPr>
          <w:p>
            <w:pPr>
              <w:pStyle w:val="7"/>
              <w:spacing w:before="127"/>
              <w:ind w:left="177"/>
              <w:rPr>
                <w:rFonts w:hint="eastAsia" w:ascii="黑体" w:eastAsia="黑体"/>
                <w:sz w:val="21"/>
              </w:rPr>
            </w:pPr>
            <w:r>
              <w:rPr>
                <w:rFonts w:hint="eastAsia" w:ascii="黑体" w:eastAsia="黑体"/>
                <w:sz w:val="21"/>
              </w:rPr>
              <w:t>备注</w:t>
            </w:r>
          </w:p>
        </w:tc>
      </w:tr>
      <w:tr>
        <w:trPr>
          <w:trHeight w:val="4181" w:hRule="atLeast"/>
        </w:trPr>
        <w:tc>
          <w:tcPr>
            <w:tcW w:w="657"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15"/>
              <w:ind w:left="96" w:right="90"/>
              <w:jc w:val="center"/>
              <w:rPr>
                <w:sz w:val="21"/>
              </w:rPr>
            </w:pPr>
            <w:r>
              <w:rPr>
                <w:sz w:val="21"/>
              </w:rPr>
              <w:t>45</w:t>
            </w:r>
          </w:p>
        </w:tc>
        <w:tc>
          <w:tcPr>
            <w:tcW w:w="656" w:type="dxa"/>
            <w:vMerge w:val="restart"/>
            <w:textDirection w:val="tbRl"/>
            <w:vAlign w:val="top"/>
          </w:tcPr>
          <w:p>
            <w:pPr>
              <w:pStyle w:val="7"/>
              <w:spacing w:before="34"/>
              <w:ind w:left="1317"/>
              <w:rPr>
                <w:rFonts w:hint="eastAsia" w:ascii="微软雅黑" w:eastAsia="微软雅黑"/>
                <w:b/>
                <w:sz w:val="21"/>
              </w:rPr>
            </w:pPr>
            <w:r>
              <w:rPr>
                <w:rFonts w:hint="eastAsia" w:ascii="微软雅黑" w:eastAsia="微软雅黑"/>
                <w:b/>
                <w:sz w:val="21"/>
              </w:rPr>
              <w:t>奖 惩 分 明 的 激 励 约 束 机 制</w:t>
            </w:r>
          </w:p>
        </w:tc>
        <w:tc>
          <w:tcPr>
            <w:tcW w:w="711"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5"/>
              <w:rPr>
                <w:rFonts w:ascii="Times New Roman"/>
                <w:sz w:val="16"/>
              </w:rPr>
            </w:pPr>
          </w:p>
          <w:p>
            <w:pPr>
              <w:pStyle w:val="7"/>
              <w:spacing w:line="278" w:lineRule="auto"/>
              <w:ind w:left="108" w:right="172"/>
              <w:rPr>
                <w:sz w:val="21"/>
              </w:rPr>
            </w:pPr>
            <w:r>
              <w:rPr>
                <w:sz w:val="21"/>
              </w:rPr>
              <w:t>建立制度</w:t>
            </w:r>
          </w:p>
        </w:tc>
        <w:tc>
          <w:tcPr>
            <w:tcW w:w="2145"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7"/>
              <w:rPr>
                <w:rFonts w:ascii="Times New Roman"/>
                <w:sz w:val="28"/>
              </w:rPr>
            </w:pPr>
          </w:p>
          <w:p>
            <w:pPr>
              <w:pStyle w:val="7"/>
              <w:spacing w:line="278" w:lineRule="auto"/>
              <w:ind w:left="108" w:right="-15"/>
              <w:rPr>
                <w:sz w:val="21"/>
              </w:rPr>
            </w:pPr>
            <w:r>
              <w:rPr>
                <w:spacing w:val="3"/>
                <w:sz w:val="21"/>
              </w:rPr>
              <w:t>建立并落实双重预防体系运行考核与激励约束制度。将岗位双重预防绩效与员工工</w:t>
            </w:r>
            <w:r>
              <w:rPr>
                <w:spacing w:val="5"/>
                <w:sz w:val="21"/>
              </w:rPr>
              <w:t>资薪酬</w:t>
            </w:r>
            <w:r>
              <w:rPr>
                <w:spacing w:val="4"/>
                <w:sz w:val="21"/>
              </w:rPr>
              <w:t>（</w:t>
            </w:r>
            <w:r>
              <w:rPr>
                <w:spacing w:val="5"/>
                <w:sz w:val="21"/>
              </w:rPr>
              <w:t>奖金</w:t>
            </w:r>
            <w:r>
              <w:rPr>
                <w:spacing w:val="7"/>
                <w:sz w:val="21"/>
              </w:rPr>
              <w:t>）</w:t>
            </w:r>
            <w:r>
              <w:rPr>
                <w:spacing w:val="2"/>
                <w:sz w:val="21"/>
              </w:rPr>
              <w:t>直接</w:t>
            </w:r>
            <w:r>
              <w:rPr>
                <w:spacing w:val="-8"/>
                <w:sz w:val="21"/>
              </w:rPr>
              <w:t>挂钩，明确考核标准、频次、方式方法等。</w:t>
            </w:r>
          </w:p>
        </w:tc>
        <w:tc>
          <w:tcPr>
            <w:tcW w:w="7306" w:type="dxa"/>
            <w:vAlign w:val="top"/>
          </w:tcPr>
          <w:p>
            <w:pPr>
              <w:pStyle w:val="7"/>
              <w:rPr>
                <w:rFonts w:ascii="Times New Roman"/>
                <w:sz w:val="20"/>
              </w:rPr>
            </w:pPr>
          </w:p>
          <w:p>
            <w:pPr>
              <w:pStyle w:val="7"/>
              <w:spacing w:before="165" w:line="278" w:lineRule="auto"/>
              <w:ind w:left="108" w:right="97" w:firstLine="420"/>
              <w:jc w:val="both"/>
              <w:rPr>
                <w:sz w:val="21"/>
              </w:rPr>
            </w:pPr>
            <w:r>
              <w:rPr>
                <w:spacing w:val="-19"/>
                <w:sz w:val="21"/>
              </w:rPr>
              <w:t xml:space="preserve">《安法》第 </w:t>
            </w:r>
            <w:r>
              <w:rPr>
                <w:sz w:val="21"/>
              </w:rPr>
              <w:t>19</w:t>
            </w:r>
            <w:r>
              <w:rPr>
                <w:spacing w:val="-9"/>
                <w:sz w:val="21"/>
              </w:rPr>
              <w:t xml:space="preserve"> 条第一款 生产经营单位的安全生产责任制应当明确各岗位的责任人员、责任范围和考核标准等内容。</w:t>
            </w:r>
          </w:p>
          <w:p>
            <w:pPr>
              <w:pStyle w:val="7"/>
              <w:spacing w:line="278" w:lineRule="auto"/>
              <w:ind w:left="108" w:right="47" w:firstLine="420"/>
              <w:jc w:val="both"/>
              <w:rPr>
                <w:sz w:val="21"/>
              </w:rPr>
            </w:pPr>
            <w:r>
              <w:rPr>
                <w:spacing w:val="-9"/>
                <w:sz w:val="21"/>
              </w:rPr>
              <w:t xml:space="preserve">《条例》第 </w:t>
            </w:r>
            <w:r>
              <w:rPr>
                <w:sz w:val="21"/>
              </w:rPr>
              <w:t>11</w:t>
            </w:r>
            <w:r>
              <w:rPr>
                <w:spacing w:val="-6"/>
                <w:sz w:val="21"/>
              </w:rPr>
              <w:t xml:space="preserve"> 条：生产经营单位应当建立健全安全生产责任制，明确各</w:t>
            </w:r>
            <w:r>
              <w:rPr>
                <w:spacing w:val="-7"/>
                <w:sz w:val="21"/>
              </w:rPr>
              <w:t>级、各岗位的责任人员、责任范围和考核标准，形成包括全体人员和全部生产</w:t>
            </w:r>
            <w:r>
              <w:rPr>
                <w:spacing w:val="-7"/>
                <w:w w:val="95"/>
                <w:sz w:val="21"/>
              </w:rPr>
              <w:t xml:space="preserve">经营活动的安全生产责任体系，加强对安全生产责任制落实情况的监督考核，  </w:t>
            </w:r>
            <w:r>
              <w:rPr>
                <w:spacing w:val="-7"/>
                <w:sz w:val="21"/>
              </w:rPr>
              <w:t>保证安全生产责任制的落实。</w:t>
            </w:r>
          </w:p>
          <w:p>
            <w:pPr>
              <w:pStyle w:val="7"/>
              <w:spacing w:line="278" w:lineRule="auto"/>
              <w:ind w:left="108" w:right="95" w:firstLine="420"/>
              <w:jc w:val="both"/>
              <w:rPr>
                <w:sz w:val="21"/>
              </w:rPr>
            </w:pPr>
            <w:r>
              <w:rPr>
                <w:spacing w:val="-23"/>
                <w:sz w:val="21"/>
              </w:rPr>
              <w:t xml:space="preserve">第 </w:t>
            </w:r>
            <w:r>
              <w:rPr>
                <w:sz w:val="21"/>
              </w:rPr>
              <w:t>15</w:t>
            </w:r>
            <w:r>
              <w:rPr>
                <w:spacing w:val="-6"/>
                <w:sz w:val="21"/>
              </w:rPr>
              <w:t xml:space="preserve"> 条：生产经营单位的安全生产管理机构及其安全生产管理人员应当履行下列职责：…（十）具体负责安全生产考核，提出奖惩意见；…</w:t>
            </w:r>
          </w:p>
          <w:p>
            <w:pPr>
              <w:pStyle w:val="7"/>
              <w:spacing w:line="278" w:lineRule="auto"/>
              <w:ind w:left="108" w:right="97" w:firstLine="420"/>
              <w:jc w:val="both"/>
              <w:rPr>
                <w:sz w:val="21"/>
              </w:rPr>
            </w:pPr>
            <w:r>
              <w:rPr>
                <w:spacing w:val="-9"/>
                <w:sz w:val="21"/>
              </w:rPr>
              <w:t xml:space="preserve">《办法》第 </w:t>
            </w:r>
            <w:r>
              <w:rPr>
                <w:sz w:val="21"/>
              </w:rPr>
              <w:t>13</w:t>
            </w:r>
            <w:r>
              <w:rPr>
                <w:spacing w:val="-5"/>
                <w:sz w:val="21"/>
              </w:rPr>
              <w:t xml:space="preserve"> 条 生产经营单位应当将事故隐患治理纳入安全生产责任</w:t>
            </w:r>
            <w:r>
              <w:rPr>
                <w:spacing w:val="-2"/>
                <w:sz w:val="21"/>
              </w:rPr>
              <w:t>制，具体履行下列事故隐患治理责任:</w:t>
            </w:r>
            <w:r>
              <w:rPr>
                <w:spacing w:val="2"/>
                <w:sz w:val="21"/>
              </w:rPr>
              <w:t>（</w:t>
            </w:r>
            <w:r>
              <w:rPr>
                <w:sz w:val="21"/>
              </w:rPr>
              <w:t>一</w:t>
            </w:r>
            <w:r>
              <w:rPr>
                <w:spacing w:val="4"/>
                <w:sz w:val="21"/>
              </w:rPr>
              <w:t>）</w:t>
            </w:r>
            <w:r>
              <w:rPr>
                <w:sz w:val="21"/>
              </w:rPr>
              <w:t>建立事故隐患排查、治理、奖惩考核等工作制度，明确本单位负责人和各岗位人员的事故隐患治理责任；…</w:t>
            </w:r>
          </w:p>
        </w:tc>
        <w:tc>
          <w:tcPr>
            <w:tcW w:w="2969"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0"/>
              <w:rPr>
                <w:rFonts w:ascii="Times New Roman"/>
                <w:sz w:val="22"/>
              </w:rPr>
            </w:pPr>
          </w:p>
          <w:p>
            <w:pPr>
              <w:pStyle w:val="7"/>
              <w:spacing w:line="278" w:lineRule="auto"/>
              <w:ind w:left="108" w:right="-15"/>
              <w:jc w:val="both"/>
              <w:rPr>
                <w:sz w:val="21"/>
              </w:rPr>
            </w:pPr>
            <w:r>
              <w:rPr>
                <w:sz w:val="21"/>
              </w:rPr>
              <w:t>检查发现存在不符合有关法律法规规定、标准规范要求或企</w:t>
            </w:r>
            <w:r>
              <w:rPr>
                <w:spacing w:val="-9"/>
                <w:sz w:val="21"/>
              </w:rPr>
              <w:t>业实际情况的，责令限期整改。</w:t>
            </w:r>
          </w:p>
        </w:tc>
        <w:tc>
          <w:tcPr>
            <w:tcW w:w="774" w:type="dxa"/>
            <w:vAlign w:val="top"/>
          </w:tcPr>
          <w:p>
            <w:pPr>
              <w:pStyle w:val="7"/>
              <w:rPr>
                <w:rFonts w:ascii="Times New Roman"/>
                <w:sz w:val="20"/>
              </w:rPr>
            </w:pPr>
          </w:p>
        </w:tc>
      </w:tr>
      <w:tr>
        <w:trPr>
          <w:trHeight w:val="1817" w:hRule="atLeast"/>
        </w:trPr>
        <w:tc>
          <w:tcPr>
            <w:tcW w:w="657" w:type="dxa"/>
            <w:vAlign w:val="top"/>
          </w:tcPr>
          <w:p>
            <w:pPr>
              <w:pStyle w:val="7"/>
              <w:rPr>
                <w:rFonts w:ascii="Times New Roman"/>
                <w:sz w:val="20"/>
              </w:rPr>
            </w:pPr>
          </w:p>
          <w:p>
            <w:pPr>
              <w:pStyle w:val="7"/>
              <w:rPr>
                <w:rFonts w:ascii="Times New Roman"/>
                <w:sz w:val="20"/>
              </w:rPr>
            </w:pPr>
          </w:p>
          <w:p>
            <w:pPr>
              <w:pStyle w:val="7"/>
              <w:spacing w:before="3"/>
              <w:rPr>
                <w:rFonts w:ascii="Times New Roman"/>
                <w:sz w:val="27"/>
              </w:rPr>
            </w:pPr>
          </w:p>
          <w:p>
            <w:pPr>
              <w:pStyle w:val="7"/>
              <w:ind w:left="96" w:right="90"/>
              <w:jc w:val="center"/>
              <w:rPr>
                <w:sz w:val="21"/>
              </w:rPr>
            </w:pPr>
            <w:r>
              <w:rPr>
                <w:sz w:val="21"/>
              </w:rPr>
              <w:t>46</w:t>
            </w:r>
          </w:p>
        </w:tc>
        <w:tc>
          <w:tcPr>
            <w:tcW w:w="656" w:type="dxa"/>
            <w:vMerge w:val="continue"/>
            <w:tcBorders>
              <w:top w:val="nil"/>
            </w:tcBorders>
            <w:textDirection w:val="tbRl"/>
            <w:vAlign w:val="top"/>
          </w:tcPr>
          <w:p>
            <w:pPr>
              <w:rPr>
                <w:sz w:val="2"/>
                <w:szCs w:val="2"/>
              </w:rPr>
            </w:pPr>
          </w:p>
        </w:tc>
        <w:tc>
          <w:tcPr>
            <w:tcW w:w="711" w:type="dxa"/>
            <w:vAlign w:val="top"/>
          </w:tcPr>
          <w:p>
            <w:pPr>
              <w:pStyle w:val="7"/>
              <w:rPr>
                <w:rFonts w:ascii="Times New Roman"/>
                <w:sz w:val="20"/>
              </w:rPr>
            </w:pPr>
          </w:p>
          <w:p>
            <w:pPr>
              <w:pStyle w:val="7"/>
              <w:rPr>
                <w:rFonts w:ascii="Times New Roman"/>
                <w:sz w:val="20"/>
              </w:rPr>
            </w:pPr>
          </w:p>
          <w:p>
            <w:pPr>
              <w:pStyle w:val="7"/>
              <w:spacing w:before="158" w:line="278" w:lineRule="auto"/>
              <w:ind w:left="108" w:right="172"/>
              <w:rPr>
                <w:sz w:val="21"/>
              </w:rPr>
            </w:pPr>
            <w:r>
              <w:rPr>
                <w:sz w:val="21"/>
              </w:rPr>
              <w:t>落实到位</w:t>
            </w:r>
          </w:p>
        </w:tc>
        <w:tc>
          <w:tcPr>
            <w:tcW w:w="2145" w:type="dxa"/>
            <w:vAlign w:val="top"/>
          </w:tcPr>
          <w:p>
            <w:pPr>
              <w:pStyle w:val="7"/>
              <w:rPr>
                <w:rFonts w:ascii="Times New Roman"/>
                <w:sz w:val="20"/>
              </w:rPr>
            </w:pPr>
          </w:p>
          <w:p>
            <w:pPr>
              <w:pStyle w:val="7"/>
              <w:spacing w:before="1"/>
              <w:rPr>
                <w:rFonts w:ascii="Times New Roman"/>
                <w:sz w:val="20"/>
              </w:rPr>
            </w:pPr>
          </w:p>
          <w:p>
            <w:pPr>
              <w:pStyle w:val="7"/>
              <w:spacing w:before="1" w:line="278" w:lineRule="auto"/>
              <w:ind w:left="108" w:right="-15"/>
              <w:rPr>
                <w:sz w:val="21"/>
              </w:rPr>
            </w:pPr>
            <w:r>
              <w:rPr>
                <w:spacing w:val="3"/>
                <w:sz w:val="21"/>
              </w:rPr>
              <w:t xml:space="preserve">落实激励约束制度， </w:t>
            </w:r>
            <w:r>
              <w:rPr>
                <w:spacing w:val="-8"/>
                <w:sz w:val="21"/>
              </w:rPr>
              <w:t>定期兑现，真奖真罚、</w:t>
            </w:r>
            <w:r>
              <w:rPr>
                <w:spacing w:val="-12"/>
                <w:sz w:val="21"/>
              </w:rPr>
              <w:t>真建真用、常态长效。</w:t>
            </w:r>
          </w:p>
        </w:tc>
        <w:tc>
          <w:tcPr>
            <w:tcW w:w="7306" w:type="dxa"/>
            <w:vAlign w:val="top"/>
          </w:tcPr>
          <w:p>
            <w:pPr>
              <w:pStyle w:val="7"/>
              <w:rPr>
                <w:rFonts w:ascii="Times New Roman"/>
                <w:sz w:val="20"/>
              </w:rPr>
            </w:pPr>
          </w:p>
          <w:p>
            <w:pPr>
              <w:pStyle w:val="7"/>
              <w:rPr>
                <w:rFonts w:ascii="Times New Roman"/>
                <w:sz w:val="20"/>
              </w:rPr>
            </w:pPr>
          </w:p>
          <w:p>
            <w:pPr>
              <w:pStyle w:val="7"/>
              <w:tabs>
                <w:tab w:val="left" w:pos="2964"/>
              </w:tabs>
              <w:spacing w:before="158" w:line="278" w:lineRule="auto"/>
              <w:ind w:left="108" w:right="95" w:firstLine="420"/>
              <w:rPr>
                <w:sz w:val="21"/>
              </w:rPr>
            </w:pPr>
            <w:r>
              <w:rPr>
                <w:sz w:val="21"/>
              </w:rPr>
              <w:t>《</w:t>
            </w:r>
            <w:r>
              <w:rPr>
                <w:spacing w:val="4"/>
                <w:sz w:val="21"/>
              </w:rPr>
              <w:t>安</w:t>
            </w:r>
            <w:r>
              <w:rPr>
                <w:sz w:val="21"/>
              </w:rPr>
              <w:t>法》第</w:t>
            </w:r>
            <w:r>
              <w:rPr>
                <w:spacing w:val="-53"/>
                <w:sz w:val="21"/>
              </w:rPr>
              <w:t xml:space="preserve"> </w:t>
            </w:r>
            <w:r>
              <w:rPr>
                <w:sz w:val="21"/>
              </w:rPr>
              <w:t>19</w:t>
            </w:r>
            <w:r>
              <w:rPr>
                <w:spacing w:val="-52"/>
                <w:sz w:val="21"/>
              </w:rPr>
              <w:t xml:space="preserve"> </w:t>
            </w:r>
            <w:r>
              <w:rPr>
                <w:sz w:val="21"/>
              </w:rPr>
              <w:t>条</w:t>
            </w:r>
            <w:r>
              <w:rPr>
                <w:spacing w:val="4"/>
                <w:sz w:val="21"/>
              </w:rPr>
              <w:t>第</w:t>
            </w:r>
            <w:r>
              <w:rPr>
                <w:sz w:val="21"/>
              </w:rPr>
              <w:t>二款</w:t>
            </w:r>
            <w:r>
              <w:rPr>
                <w:sz w:val="21"/>
              </w:rPr>
              <w:tab/>
            </w:r>
            <w:r>
              <w:rPr>
                <w:sz w:val="21"/>
              </w:rPr>
              <w:t>生</w:t>
            </w:r>
            <w:r>
              <w:rPr>
                <w:spacing w:val="4"/>
                <w:sz w:val="21"/>
              </w:rPr>
              <w:t>产</w:t>
            </w:r>
            <w:r>
              <w:rPr>
                <w:sz w:val="21"/>
              </w:rPr>
              <w:t>经营单</w:t>
            </w:r>
            <w:r>
              <w:rPr>
                <w:spacing w:val="4"/>
                <w:sz w:val="21"/>
              </w:rPr>
              <w:t>位</w:t>
            </w:r>
            <w:r>
              <w:rPr>
                <w:sz w:val="21"/>
              </w:rPr>
              <w:t>应当建</w:t>
            </w:r>
            <w:r>
              <w:rPr>
                <w:spacing w:val="4"/>
                <w:sz w:val="21"/>
              </w:rPr>
              <w:t>立</w:t>
            </w:r>
            <w:r>
              <w:rPr>
                <w:sz w:val="21"/>
              </w:rPr>
              <w:t>相应的</w:t>
            </w:r>
            <w:r>
              <w:rPr>
                <w:spacing w:val="4"/>
                <w:sz w:val="21"/>
              </w:rPr>
              <w:t>机</w:t>
            </w:r>
            <w:r>
              <w:rPr>
                <w:sz w:val="21"/>
              </w:rPr>
              <w:t>制，加</w:t>
            </w:r>
            <w:r>
              <w:rPr>
                <w:spacing w:val="4"/>
                <w:sz w:val="21"/>
              </w:rPr>
              <w:t>强</w:t>
            </w:r>
            <w:r>
              <w:rPr>
                <w:sz w:val="21"/>
              </w:rPr>
              <w:t>对</w:t>
            </w:r>
            <w:r>
              <w:rPr>
                <w:spacing w:val="-11"/>
                <w:sz w:val="21"/>
              </w:rPr>
              <w:t>安</w:t>
            </w:r>
            <w:r>
              <w:rPr>
                <w:sz w:val="21"/>
              </w:rPr>
              <w:t>全生产责任制落实情况的监督考核，保证安全生产责任制的落实。</w:t>
            </w:r>
          </w:p>
        </w:tc>
        <w:tc>
          <w:tcPr>
            <w:tcW w:w="2969" w:type="dxa"/>
            <w:vAlign w:val="top"/>
          </w:tcPr>
          <w:p>
            <w:pPr>
              <w:pStyle w:val="7"/>
              <w:rPr>
                <w:rFonts w:ascii="Times New Roman"/>
                <w:sz w:val="20"/>
              </w:rPr>
            </w:pPr>
          </w:p>
          <w:p>
            <w:pPr>
              <w:pStyle w:val="7"/>
              <w:spacing w:before="1"/>
              <w:rPr>
                <w:rFonts w:ascii="Times New Roman"/>
                <w:sz w:val="20"/>
              </w:rPr>
            </w:pPr>
          </w:p>
          <w:p>
            <w:pPr>
              <w:pStyle w:val="7"/>
              <w:spacing w:before="1" w:line="278" w:lineRule="auto"/>
              <w:ind w:left="108" w:right="-15"/>
              <w:jc w:val="both"/>
              <w:rPr>
                <w:sz w:val="21"/>
              </w:rPr>
            </w:pPr>
            <w:r>
              <w:rPr>
                <w:sz w:val="21"/>
              </w:rPr>
              <w:t>检查发现存在不符合有关法律法规规定、标准规范要求或企</w:t>
            </w:r>
            <w:r>
              <w:rPr>
                <w:spacing w:val="-9"/>
                <w:sz w:val="21"/>
              </w:rPr>
              <w:t>业实际情况的，责令限期整改。</w:t>
            </w:r>
          </w:p>
        </w:tc>
        <w:tc>
          <w:tcPr>
            <w:tcW w:w="774" w:type="dxa"/>
            <w:vAlign w:val="top"/>
          </w:tcPr>
          <w:p>
            <w:pPr>
              <w:pStyle w:val="7"/>
              <w:rPr>
                <w:rFonts w:ascii="Times New Roman"/>
                <w:sz w:val="20"/>
              </w:rPr>
            </w:pPr>
          </w:p>
        </w:tc>
      </w:tr>
    </w:tbl>
    <w:p>
      <w:pPr>
        <w:pStyle w:val="6"/>
        <w:numPr>
          <w:ilvl w:val="0"/>
          <w:numId w:val="12"/>
        </w:numPr>
        <w:tabs>
          <w:tab w:val="left" w:pos="1463"/>
        </w:tabs>
        <w:spacing w:before="22" w:after="0" w:line="278" w:lineRule="auto"/>
        <w:ind w:left="831" w:right="823" w:firstLine="420"/>
        <w:jc w:val="left"/>
        <w:rPr>
          <w:sz w:val="19"/>
        </w:rPr>
      </w:pPr>
      <w:r>
        <w:rPr>
          <w:spacing w:val="-8"/>
          <w:sz w:val="21"/>
        </w:rPr>
        <w:t>表中《安全生产法》简称安法；《河南省安全生产条例》简称条例；《河南省安全生产风险管控与隐患治理管理办法》</w:t>
      </w:r>
      <w:r>
        <w:rPr>
          <w:sz w:val="21"/>
        </w:rPr>
        <w:t>（</w:t>
      </w:r>
      <w:r>
        <w:rPr>
          <w:spacing w:val="-16"/>
          <w:sz w:val="21"/>
        </w:rPr>
        <w:t xml:space="preserve">省政府 </w:t>
      </w:r>
      <w:r>
        <w:rPr>
          <w:sz w:val="21"/>
        </w:rPr>
        <w:t>191</w:t>
      </w:r>
      <w:r>
        <w:rPr>
          <w:spacing w:val="-21"/>
          <w:sz w:val="21"/>
        </w:rPr>
        <w:t xml:space="preserve"> 号令</w:t>
      </w:r>
      <w:r>
        <w:rPr>
          <w:spacing w:val="-10"/>
          <w:sz w:val="21"/>
        </w:rPr>
        <w:t>）</w:t>
      </w:r>
      <w:r>
        <w:rPr>
          <w:sz w:val="21"/>
        </w:rPr>
        <w:t>简称办法；</w:t>
      </w:r>
    </w:p>
    <w:p>
      <w:pPr>
        <w:spacing w:before="0" w:line="269" w:lineRule="exact"/>
        <w:ind w:left="831" w:right="0" w:firstLine="0"/>
        <w:jc w:val="left"/>
        <w:rPr>
          <w:sz w:val="21"/>
        </w:rPr>
      </w:pPr>
      <w:r>
        <w:rPr>
          <w:sz w:val="21"/>
        </w:rPr>
        <w:t>《河南省生产经营单位安全生产主体责任规定》（豫政办〔2016〕232 号）简称规定。</w:t>
      </w:r>
    </w:p>
    <w:p>
      <w:pPr>
        <w:pStyle w:val="6"/>
        <w:numPr>
          <w:ilvl w:val="0"/>
          <w:numId w:val="12"/>
        </w:numPr>
        <w:tabs>
          <w:tab w:val="left" w:pos="1463"/>
        </w:tabs>
        <w:spacing w:before="43" w:after="0" w:line="278" w:lineRule="auto"/>
        <w:ind w:left="831" w:right="831" w:firstLine="420"/>
        <w:jc w:val="left"/>
        <w:rPr>
          <w:sz w:val="19"/>
        </w:rPr>
      </w:pPr>
      <w:r>
        <w:rPr>
          <w:spacing w:val="-7"/>
          <w:w w:val="95"/>
          <w:sz w:val="21"/>
        </w:rPr>
        <w:t xml:space="preserve">鼓励企业按照《河南省企业安全生产风险辨识管控与隐患排查治理双重预防体系建设导则》以及细分行业标准、导则等提高双重预防体系建设运     </w:t>
      </w:r>
      <w:r>
        <w:rPr>
          <w:spacing w:val="-7"/>
          <w:sz w:val="21"/>
        </w:rPr>
        <w:t>行标准。</w:t>
      </w:r>
    </w:p>
    <w:p>
      <w:pPr>
        <w:spacing w:after="0" w:line="278" w:lineRule="auto"/>
        <w:jc w:val="left"/>
        <w:rPr>
          <w:sz w:val="19"/>
        </w:rPr>
        <w:sectPr>
          <w:pgSz w:w="16840" w:h="11910" w:orient="landscape"/>
          <w:pgMar w:top="1100" w:right="700" w:bottom="1100" w:left="700" w:header="0" w:footer="907"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6"/>
        <w:numPr>
          <w:ilvl w:val="0"/>
          <w:numId w:val="12"/>
        </w:numPr>
        <w:tabs>
          <w:tab w:val="left" w:pos="3486"/>
        </w:tabs>
        <w:spacing w:before="194" w:after="0" w:line="240" w:lineRule="auto"/>
        <w:ind w:left="3485" w:right="0" w:hanging="3486"/>
        <w:jc w:val="left"/>
        <w:rPr>
          <w:rFonts w:hint="eastAsia" w:ascii="宋体" w:hAnsi="宋体" w:eastAsia="宋体" w:cs="宋体"/>
          <w:b/>
          <w:bCs/>
          <w:sz w:val="42"/>
        </w:rPr>
      </w:pPr>
      <w:r>
        <w:rPr>
          <w:rFonts w:hint="eastAsia" w:ascii="宋体" w:hAnsi="宋体" w:eastAsia="宋体" w:cs="宋体"/>
          <w:b/>
          <w:bCs/>
          <w:sz w:val="44"/>
        </w:rPr>
        <w:t>危险化学品企业安全生产执法检查重点事项表</w:t>
      </w:r>
    </w:p>
    <w:p>
      <w:pPr>
        <w:pStyle w:val="2"/>
        <w:rPr>
          <w:rFonts w:ascii="PMingLiU"/>
          <w:sz w:val="20"/>
        </w:rPr>
      </w:pPr>
    </w:p>
    <w:p>
      <w:pPr>
        <w:pStyle w:val="2"/>
        <w:spacing w:before="7"/>
        <w:rPr>
          <w:rFonts w:ascii="PMingLiU"/>
          <w:sz w:val="26"/>
        </w:rPr>
      </w:pPr>
    </w:p>
    <w:tbl>
      <w:tblPr>
        <w:tblW w:w="13744" w:type="dxa"/>
        <w:tblInd w:w="7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1843"/>
        <w:gridCol w:w="4371"/>
        <w:gridCol w:w="2606"/>
        <w:gridCol w:w="4107"/>
      </w:tblGrid>
      <w:tr>
        <w:trPr>
          <w:trHeight w:val="533" w:hRule="atLeast"/>
        </w:trPr>
        <w:tc>
          <w:tcPr>
            <w:tcW w:w="817" w:type="dxa"/>
            <w:vAlign w:val="top"/>
          </w:tcPr>
          <w:p>
            <w:pPr>
              <w:pStyle w:val="7"/>
              <w:spacing w:before="136"/>
              <w:ind w:left="146" w:right="138"/>
              <w:jc w:val="center"/>
              <w:rPr>
                <w:rFonts w:hint="eastAsia" w:ascii="黑体" w:eastAsia="黑体"/>
                <w:sz w:val="24"/>
              </w:rPr>
            </w:pPr>
            <w:r>
              <w:rPr>
                <w:rFonts w:hint="eastAsia" w:ascii="黑体" w:eastAsia="黑体"/>
                <w:sz w:val="24"/>
              </w:rPr>
              <w:t>序号</w:t>
            </w:r>
          </w:p>
        </w:tc>
        <w:tc>
          <w:tcPr>
            <w:tcW w:w="1843" w:type="dxa"/>
            <w:vAlign w:val="top"/>
          </w:tcPr>
          <w:p>
            <w:pPr>
              <w:pStyle w:val="7"/>
              <w:spacing w:before="136"/>
              <w:ind w:left="200"/>
              <w:rPr>
                <w:rFonts w:hint="eastAsia" w:ascii="黑体" w:eastAsia="黑体"/>
                <w:sz w:val="24"/>
              </w:rPr>
            </w:pPr>
            <w:r>
              <w:rPr>
                <w:rFonts w:hint="eastAsia" w:ascii="黑体" w:eastAsia="黑体"/>
                <w:sz w:val="24"/>
              </w:rPr>
              <w:t>违法行为描述</w:t>
            </w:r>
          </w:p>
        </w:tc>
        <w:tc>
          <w:tcPr>
            <w:tcW w:w="4371" w:type="dxa"/>
            <w:vAlign w:val="top"/>
          </w:tcPr>
          <w:p>
            <w:pPr>
              <w:pStyle w:val="7"/>
              <w:spacing w:before="136"/>
              <w:ind w:left="1685" w:right="1675"/>
              <w:jc w:val="center"/>
              <w:rPr>
                <w:rFonts w:hint="eastAsia" w:ascii="黑体" w:eastAsia="黑体"/>
                <w:sz w:val="24"/>
              </w:rPr>
            </w:pPr>
            <w:r>
              <w:rPr>
                <w:rFonts w:hint="eastAsia" w:ascii="黑体" w:eastAsia="黑体"/>
                <w:sz w:val="24"/>
              </w:rPr>
              <w:t>执法依据</w:t>
            </w:r>
          </w:p>
        </w:tc>
        <w:tc>
          <w:tcPr>
            <w:tcW w:w="2606" w:type="dxa"/>
            <w:vAlign w:val="top"/>
          </w:tcPr>
          <w:p>
            <w:pPr>
              <w:pStyle w:val="7"/>
              <w:spacing w:before="136"/>
              <w:ind w:left="126" w:right="119"/>
              <w:jc w:val="center"/>
              <w:rPr>
                <w:rFonts w:hint="eastAsia" w:ascii="黑体" w:eastAsia="黑体"/>
                <w:sz w:val="24"/>
              </w:rPr>
            </w:pPr>
            <w:r>
              <w:rPr>
                <w:rFonts w:hint="eastAsia" w:ascii="黑体" w:eastAsia="黑体"/>
                <w:sz w:val="24"/>
              </w:rPr>
              <w:t>检查方式</w:t>
            </w:r>
          </w:p>
        </w:tc>
        <w:tc>
          <w:tcPr>
            <w:tcW w:w="4107" w:type="dxa"/>
            <w:vAlign w:val="top"/>
          </w:tcPr>
          <w:p>
            <w:pPr>
              <w:pStyle w:val="7"/>
              <w:spacing w:before="136"/>
              <w:ind w:left="70" w:right="61"/>
              <w:jc w:val="center"/>
              <w:rPr>
                <w:rFonts w:hint="eastAsia" w:ascii="黑体" w:eastAsia="黑体"/>
                <w:sz w:val="24"/>
              </w:rPr>
            </w:pPr>
            <w:r>
              <w:rPr>
                <w:rFonts w:hint="eastAsia" w:ascii="黑体" w:eastAsia="黑体"/>
                <w:sz w:val="24"/>
              </w:rPr>
              <w:t>处罚依据</w:t>
            </w:r>
          </w:p>
        </w:tc>
      </w:tr>
      <w:tr>
        <w:trPr>
          <w:trHeight w:val="769" w:hRule="atLeast"/>
        </w:trPr>
        <w:tc>
          <w:tcPr>
            <w:tcW w:w="817" w:type="dxa"/>
            <w:tcBorders>
              <w:bottom w:val="nil"/>
            </w:tcBorders>
            <w:vAlign w:val="top"/>
          </w:tcPr>
          <w:p>
            <w:pPr>
              <w:pStyle w:val="7"/>
              <w:rPr>
                <w:rFonts w:ascii="Times New Roman"/>
                <w:sz w:val="20"/>
              </w:rPr>
            </w:pPr>
          </w:p>
        </w:tc>
        <w:tc>
          <w:tcPr>
            <w:tcW w:w="1843" w:type="dxa"/>
            <w:tcBorders>
              <w:bottom w:val="nil"/>
            </w:tcBorders>
            <w:vAlign w:val="top"/>
          </w:tcPr>
          <w:p>
            <w:pPr>
              <w:pStyle w:val="7"/>
              <w:rPr>
                <w:rFonts w:ascii="Times New Roman"/>
                <w:sz w:val="20"/>
              </w:rPr>
            </w:pPr>
          </w:p>
        </w:tc>
        <w:tc>
          <w:tcPr>
            <w:tcW w:w="4371" w:type="dxa"/>
            <w:tcBorders>
              <w:bottom w:val="nil"/>
            </w:tcBorders>
            <w:vAlign w:val="top"/>
          </w:tcPr>
          <w:p>
            <w:pPr>
              <w:pStyle w:val="7"/>
              <w:rPr>
                <w:rFonts w:ascii="PMingLiU"/>
                <w:sz w:val="20"/>
              </w:rPr>
            </w:pPr>
          </w:p>
          <w:p>
            <w:pPr>
              <w:pStyle w:val="7"/>
              <w:spacing w:before="3"/>
              <w:rPr>
                <w:rFonts w:ascii="PMingLiU"/>
                <w:sz w:val="13"/>
              </w:rPr>
            </w:pPr>
          </w:p>
          <w:p>
            <w:pPr>
              <w:pStyle w:val="7"/>
              <w:spacing w:before="1"/>
              <w:ind w:left="107"/>
              <w:rPr>
                <w:sz w:val="19"/>
              </w:rPr>
            </w:pPr>
            <w:r>
              <w:rPr>
                <w:sz w:val="21"/>
              </w:rPr>
              <w:t>【法规】（一）《安全生产法》第二十四条</w:t>
            </w:r>
            <w:r>
              <w:rPr>
                <w:color w:val="333333"/>
                <w:sz w:val="19"/>
              </w:rPr>
              <w:t>生</w:t>
            </w:r>
          </w:p>
        </w:tc>
        <w:tc>
          <w:tcPr>
            <w:tcW w:w="2606" w:type="dxa"/>
            <w:tcBorders>
              <w:bottom w:val="nil"/>
            </w:tcBorders>
            <w:vAlign w:val="top"/>
          </w:tcPr>
          <w:p>
            <w:pPr>
              <w:pStyle w:val="7"/>
              <w:rPr>
                <w:rFonts w:ascii="Times New Roman"/>
                <w:sz w:val="20"/>
              </w:rPr>
            </w:pPr>
          </w:p>
        </w:tc>
        <w:tc>
          <w:tcPr>
            <w:tcW w:w="4107" w:type="dxa"/>
            <w:tcBorders>
              <w:bottom w:val="nil"/>
            </w:tcBorders>
            <w:vAlign w:val="top"/>
          </w:tcPr>
          <w:p>
            <w:pPr>
              <w:pStyle w:val="7"/>
              <w:rPr>
                <w:rFonts w:ascii="Times New Roman"/>
                <w:sz w:val="20"/>
              </w:rPr>
            </w:pPr>
          </w:p>
        </w:tc>
      </w:tr>
      <w:tr>
        <w:trPr>
          <w:trHeight w:val="319" w:hRule="atLeast"/>
        </w:trPr>
        <w:tc>
          <w:tcPr>
            <w:tcW w:w="817" w:type="dxa"/>
            <w:tcBorders>
              <w:top w:val="nil"/>
              <w:bottom w:val="nil"/>
            </w:tcBorders>
            <w:vAlign w:val="top"/>
          </w:tcPr>
          <w:p>
            <w:pPr>
              <w:pStyle w:val="7"/>
              <w:rPr>
                <w:rFonts w:ascii="Times New Roman"/>
                <w:sz w:val="20"/>
              </w:rPr>
            </w:pPr>
          </w:p>
        </w:tc>
        <w:tc>
          <w:tcPr>
            <w:tcW w:w="1843" w:type="dxa"/>
            <w:tcBorders>
              <w:top w:val="nil"/>
              <w:bottom w:val="nil"/>
            </w:tcBorders>
            <w:vAlign w:val="top"/>
          </w:tcPr>
          <w:p>
            <w:pPr>
              <w:pStyle w:val="7"/>
              <w:rPr>
                <w:rFonts w:ascii="Times New Roman"/>
                <w:sz w:val="20"/>
              </w:rPr>
            </w:pPr>
          </w:p>
        </w:tc>
        <w:tc>
          <w:tcPr>
            <w:tcW w:w="4371" w:type="dxa"/>
            <w:tcBorders>
              <w:top w:val="nil"/>
              <w:bottom w:val="nil"/>
            </w:tcBorders>
            <w:vAlign w:val="top"/>
          </w:tcPr>
          <w:p>
            <w:pPr>
              <w:pStyle w:val="7"/>
              <w:spacing w:before="37"/>
              <w:ind w:left="107"/>
              <w:rPr>
                <w:sz w:val="19"/>
              </w:rPr>
            </w:pPr>
            <w:r>
              <w:rPr>
                <w:color w:val="333333"/>
                <w:sz w:val="19"/>
              </w:rPr>
              <w:t>产经营单位的主要负责人和安全生产管理人员必</w:t>
            </w:r>
          </w:p>
        </w:tc>
        <w:tc>
          <w:tcPr>
            <w:tcW w:w="2606" w:type="dxa"/>
            <w:tcBorders>
              <w:top w:val="nil"/>
              <w:bottom w:val="nil"/>
            </w:tcBorders>
            <w:vAlign w:val="top"/>
          </w:tcPr>
          <w:p>
            <w:pPr>
              <w:pStyle w:val="7"/>
              <w:rPr>
                <w:rFonts w:ascii="Times New Roman"/>
                <w:sz w:val="20"/>
              </w:rPr>
            </w:pPr>
          </w:p>
        </w:tc>
        <w:tc>
          <w:tcPr>
            <w:tcW w:w="4107" w:type="dxa"/>
            <w:tcBorders>
              <w:top w:val="nil"/>
              <w:bottom w:val="nil"/>
            </w:tcBorders>
            <w:vAlign w:val="top"/>
          </w:tcPr>
          <w:p>
            <w:pPr>
              <w:pStyle w:val="7"/>
              <w:rPr>
                <w:rFonts w:ascii="Times New Roman"/>
                <w:sz w:val="20"/>
              </w:rPr>
            </w:pPr>
          </w:p>
        </w:tc>
      </w:tr>
      <w:tr>
        <w:trPr>
          <w:trHeight w:val="311" w:hRule="atLeast"/>
        </w:trPr>
        <w:tc>
          <w:tcPr>
            <w:tcW w:w="817" w:type="dxa"/>
            <w:tcBorders>
              <w:top w:val="nil"/>
              <w:bottom w:val="nil"/>
            </w:tcBorders>
            <w:vAlign w:val="top"/>
          </w:tcPr>
          <w:p>
            <w:pPr>
              <w:pStyle w:val="7"/>
              <w:rPr>
                <w:rFonts w:ascii="Times New Roman"/>
                <w:sz w:val="20"/>
              </w:rPr>
            </w:pPr>
          </w:p>
        </w:tc>
        <w:tc>
          <w:tcPr>
            <w:tcW w:w="1843" w:type="dxa"/>
            <w:tcBorders>
              <w:top w:val="nil"/>
              <w:bottom w:val="nil"/>
            </w:tcBorders>
            <w:vAlign w:val="top"/>
          </w:tcPr>
          <w:p>
            <w:pPr>
              <w:pStyle w:val="7"/>
              <w:rPr>
                <w:rFonts w:ascii="Times New Roman"/>
                <w:sz w:val="20"/>
              </w:rPr>
            </w:pPr>
          </w:p>
        </w:tc>
        <w:tc>
          <w:tcPr>
            <w:tcW w:w="4371" w:type="dxa"/>
            <w:tcBorders>
              <w:top w:val="nil"/>
              <w:bottom w:val="nil"/>
            </w:tcBorders>
            <w:vAlign w:val="top"/>
          </w:tcPr>
          <w:p>
            <w:pPr>
              <w:pStyle w:val="7"/>
              <w:spacing w:before="38"/>
              <w:ind w:left="107"/>
              <w:rPr>
                <w:sz w:val="19"/>
              </w:rPr>
            </w:pPr>
            <w:r>
              <w:rPr>
                <w:color w:val="333333"/>
                <w:sz w:val="19"/>
              </w:rPr>
              <w:t>须具备与本单位所从事的生产经营活动相应的安</w:t>
            </w:r>
          </w:p>
        </w:tc>
        <w:tc>
          <w:tcPr>
            <w:tcW w:w="2606" w:type="dxa"/>
            <w:tcBorders>
              <w:top w:val="nil"/>
              <w:bottom w:val="nil"/>
            </w:tcBorders>
            <w:vAlign w:val="top"/>
          </w:tcPr>
          <w:p>
            <w:pPr>
              <w:pStyle w:val="7"/>
              <w:rPr>
                <w:rFonts w:ascii="Times New Roman"/>
                <w:sz w:val="20"/>
              </w:rPr>
            </w:pPr>
          </w:p>
        </w:tc>
        <w:tc>
          <w:tcPr>
            <w:tcW w:w="4107" w:type="dxa"/>
            <w:tcBorders>
              <w:top w:val="nil"/>
              <w:bottom w:val="nil"/>
            </w:tcBorders>
            <w:vAlign w:val="top"/>
          </w:tcPr>
          <w:p>
            <w:pPr>
              <w:pStyle w:val="7"/>
              <w:rPr>
                <w:rFonts w:ascii="Times New Roman"/>
                <w:sz w:val="20"/>
              </w:rPr>
            </w:pPr>
          </w:p>
        </w:tc>
      </w:tr>
      <w:tr>
        <w:trPr>
          <w:trHeight w:val="321" w:hRule="atLeast"/>
        </w:trPr>
        <w:tc>
          <w:tcPr>
            <w:tcW w:w="817" w:type="dxa"/>
            <w:tcBorders>
              <w:top w:val="nil"/>
              <w:bottom w:val="nil"/>
            </w:tcBorders>
            <w:vAlign w:val="top"/>
          </w:tcPr>
          <w:p>
            <w:pPr>
              <w:pStyle w:val="7"/>
              <w:rPr>
                <w:rFonts w:ascii="Times New Roman"/>
                <w:sz w:val="20"/>
              </w:rPr>
            </w:pPr>
          </w:p>
        </w:tc>
        <w:tc>
          <w:tcPr>
            <w:tcW w:w="1843" w:type="dxa"/>
            <w:tcBorders>
              <w:top w:val="nil"/>
              <w:bottom w:val="nil"/>
            </w:tcBorders>
            <w:vAlign w:val="top"/>
          </w:tcPr>
          <w:p>
            <w:pPr>
              <w:pStyle w:val="7"/>
              <w:rPr>
                <w:rFonts w:ascii="Times New Roman"/>
                <w:sz w:val="20"/>
              </w:rPr>
            </w:pPr>
          </w:p>
        </w:tc>
        <w:tc>
          <w:tcPr>
            <w:tcW w:w="4371" w:type="dxa"/>
            <w:tcBorders>
              <w:top w:val="nil"/>
              <w:bottom w:val="nil"/>
            </w:tcBorders>
            <w:vAlign w:val="top"/>
          </w:tcPr>
          <w:p>
            <w:pPr>
              <w:pStyle w:val="7"/>
              <w:spacing w:before="46"/>
              <w:ind w:left="107"/>
              <w:rPr>
                <w:sz w:val="19"/>
              </w:rPr>
            </w:pPr>
            <w:r>
              <w:rPr>
                <w:color w:val="333333"/>
                <w:sz w:val="19"/>
              </w:rPr>
              <w:t>全生产知识和管理能力。</w:t>
            </w:r>
          </w:p>
        </w:tc>
        <w:tc>
          <w:tcPr>
            <w:tcW w:w="2606" w:type="dxa"/>
            <w:tcBorders>
              <w:top w:val="nil"/>
              <w:bottom w:val="nil"/>
            </w:tcBorders>
            <w:vAlign w:val="top"/>
          </w:tcPr>
          <w:p>
            <w:pPr>
              <w:pStyle w:val="7"/>
              <w:spacing w:before="26"/>
              <w:ind w:left="126" w:right="119"/>
              <w:jc w:val="center"/>
              <w:rPr>
                <w:sz w:val="21"/>
              </w:rPr>
            </w:pPr>
            <w:r>
              <w:rPr>
                <w:sz w:val="21"/>
              </w:rPr>
              <w:t>1.查阅资料：</w:t>
            </w:r>
          </w:p>
        </w:tc>
        <w:tc>
          <w:tcPr>
            <w:tcW w:w="4107" w:type="dxa"/>
            <w:tcBorders>
              <w:top w:val="nil"/>
              <w:bottom w:val="nil"/>
            </w:tcBorders>
            <w:vAlign w:val="top"/>
          </w:tcPr>
          <w:p>
            <w:pPr>
              <w:pStyle w:val="7"/>
              <w:spacing w:before="26"/>
              <w:ind w:left="71" w:right="61"/>
              <w:jc w:val="center"/>
              <w:rPr>
                <w:sz w:val="19"/>
              </w:rPr>
            </w:pPr>
            <w:r>
              <w:rPr>
                <w:sz w:val="21"/>
              </w:rPr>
              <w:t>【法规】《安全生产法》</w:t>
            </w:r>
            <w:r>
              <w:rPr>
                <w:color w:val="333333"/>
                <w:sz w:val="19"/>
              </w:rPr>
              <w:t>第九十四条 生产经</w:t>
            </w:r>
          </w:p>
        </w:tc>
      </w:tr>
      <w:tr>
        <w:trPr>
          <w:trHeight w:val="320" w:hRule="atLeast"/>
        </w:trPr>
        <w:tc>
          <w:tcPr>
            <w:tcW w:w="817" w:type="dxa"/>
            <w:tcBorders>
              <w:top w:val="nil"/>
              <w:bottom w:val="nil"/>
            </w:tcBorders>
            <w:vAlign w:val="top"/>
          </w:tcPr>
          <w:p>
            <w:pPr>
              <w:pStyle w:val="7"/>
              <w:rPr>
                <w:rFonts w:ascii="Times New Roman"/>
                <w:sz w:val="20"/>
              </w:rPr>
            </w:pPr>
          </w:p>
        </w:tc>
        <w:tc>
          <w:tcPr>
            <w:tcW w:w="1843" w:type="dxa"/>
            <w:tcBorders>
              <w:top w:val="nil"/>
              <w:bottom w:val="nil"/>
            </w:tcBorders>
            <w:vAlign w:val="top"/>
          </w:tcPr>
          <w:p>
            <w:pPr>
              <w:pStyle w:val="7"/>
              <w:rPr>
                <w:rFonts w:ascii="Times New Roman"/>
                <w:sz w:val="20"/>
              </w:rPr>
            </w:pPr>
          </w:p>
        </w:tc>
        <w:tc>
          <w:tcPr>
            <w:tcW w:w="4371" w:type="dxa"/>
            <w:tcBorders>
              <w:top w:val="nil"/>
              <w:bottom w:val="nil"/>
            </w:tcBorders>
            <w:vAlign w:val="top"/>
          </w:tcPr>
          <w:p>
            <w:pPr>
              <w:pStyle w:val="7"/>
              <w:spacing w:before="26"/>
              <w:ind w:left="107"/>
              <w:rPr>
                <w:sz w:val="21"/>
              </w:rPr>
            </w:pPr>
            <w:r>
              <w:rPr>
                <w:sz w:val="21"/>
              </w:rPr>
              <w:t>【规范性文件】《危险化学品安全专项整治三</w:t>
            </w:r>
          </w:p>
        </w:tc>
        <w:tc>
          <w:tcPr>
            <w:tcW w:w="2606" w:type="dxa"/>
            <w:tcBorders>
              <w:top w:val="nil"/>
              <w:bottom w:val="nil"/>
            </w:tcBorders>
            <w:vAlign w:val="top"/>
          </w:tcPr>
          <w:p>
            <w:pPr>
              <w:pStyle w:val="7"/>
              <w:spacing w:before="26"/>
              <w:ind w:left="126" w:right="119"/>
              <w:jc w:val="center"/>
              <w:rPr>
                <w:sz w:val="21"/>
              </w:rPr>
            </w:pPr>
            <w:r>
              <w:rPr>
                <w:sz w:val="21"/>
              </w:rPr>
              <w:t>企业负责人、安全管理人</w:t>
            </w:r>
          </w:p>
        </w:tc>
        <w:tc>
          <w:tcPr>
            <w:tcW w:w="4107" w:type="dxa"/>
            <w:tcBorders>
              <w:top w:val="nil"/>
              <w:bottom w:val="nil"/>
            </w:tcBorders>
            <w:vAlign w:val="top"/>
          </w:tcPr>
          <w:p>
            <w:pPr>
              <w:pStyle w:val="7"/>
              <w:spacing w:before="46"/>
              <w:ind w:left="68" w:right="61"/>
              <w:jc w:val="center"/>
              <w:rPr>
                <w:sz w:val="19"/>
              </w:rPr>
            </w:pPr>
            <w:r>
              <w:rPr>
                <w:color w:val="333333"/>
                <w:sz w:val="19"/>
              </w:rPr>
              <w:t>营单位有下列行为之一的，责令限期改正，可</w:t>
            </w:r>
          </w:p>
        </w:tc>
      </w:tr>
      <w:tr>
        <w:trPr>
          <w:trHeight w:val="1920" w:hRule="atLeast"/>
        </w:trPr>
        <w:tc>
          <w:tcPr>
            <w:tcW w:w="817" w:type="dxa"/>
            <w:tcBorders>
              <w:top w:val="nil"/>
              <w:bottom w:val="nil"/>
            </w:tcBorders>
            <w:vAlign w:val="top"/>
          </w:tcPr>
          <w:p>
            <w:pPr>
              <w:pStyle w:val="7"/>
              <w:rPr>
                <w:rFonts w:ascii="PMingLiU"/>
                <w:sz w:val="20"/>
              </w:rPr>
            </w:pPr>
          </w:p>
          <w:p>
            <w:pPr>
              <w:pStyle w:val="7"/>
              <w:rPr>
                <w:rFonts w:ascii="PMingLiU"/>
                <w:sz w:val="20"/>
              </w:rPr>
            </w:pPr>
          </w:p>
          <w:p>
            <w:pPr>
              <w:pStyle w:val="7"/>
              <w:spacing w:before="12"/>
              <w:rPr>
                <w:rFonts w:ascii="PMingLiU"/>
                <w:sz w:val="18"/>
              </w:rPr>
            </w:pPr>
          </w:p>
          <w:p>
            <w:pPr>
              <w:pStyle w:val="7"/>
              <w:ind w:left="7"/>
              <w:jc w:val="center"/>
              <w:rPr>
                <w:sz w:val="21"/>
              </w:rPr>
            </w:pPr>
            <w:r>
              <w:rPr>
                <w:w w:val="99"/>
                <w:sz w:val="21"/>
              </w:rPr>
              <w:t>1</w:t>
            </w:r>
          </w:p>
        </w:tc>
        <w:tc>
          <w:tcPr>
            <w:tcW w:w="1843" w:type="dxa"/>
            <w:tcBorders>
              <w:top w:val="nil"/>
              <w:bottom w:val="nil"/>
            </w:tcBorders>
            <w:vAlign w:val="top"/>
          </w:tcPr>
          <w:p>
            <w:pPr>
              <w:pStyle w:val="7"/>
              <w:spacing w:before="3"/>
              <w:rPr>
                <w:rFonts w:ascii="PMingLiU"/>
                <w:sz w:val="13"/>
              </w:rPr>
            </w:pPr>
          </w:p>
          <w:p>
            <w:pPr>
              <w:pStyle w:val="7"/>
              <w:spacing w:line="285" w:lineRule="auto"/>
              <w:ind w:left="106" w:right="43"/>
              <w:jc w:val="center"/>
              <w:rPr>
                <w:sz w:val="21"/>
              </w:rPr>
            </w:pPr>
            <w:r>
              <w:rPr>
                <w:spacing w:val="-2"/>
                <w:sz w:val="21"/>
              </w:rPr>
              <w:t>企业主要负责人、</w:t>
            </w:r>
            <w:r>
              <w:rPr>
                <w:spacing w:val="-7"/>
                <w:sz w:val="21"/>
              </w:rPr>
              <w:t>安全管理人员、特种作业人员学历 和资质不符合要 求</w:t>
            </w:r>
          </w:p>
        </w:tc>
        <w:tc>
          <w:tcPr>
            <w:tcW w:w="4371" w:type="dxa"/>
            <w:tcBorders>
              <w:top w:val="nil"/>
              <w:bottom w:val="nil"/>
            </w:tcBorders>
            <w:vAlign w:val="top"/>
          </w:tcPr>
          <w:p>
            <w:pPr>
              <w:pStyle w:val="7"/>
              <w:spacing w:before="24" w:line="285" w:lineRule="auto"/>
              <w:ind w:left="107" w:right="97"/>
              <w:jc w:val="both"/>
              <w:rPr>
                <w:sz w:val="21"/>
              </w:rPr>
            </w:pPr>
            <w:r>
              <w:rPr>
                <w:spacing w:val="-5"/>
                <w:w w:val="95"/>
                <w:sz w:val="21"/>
              </w:rPr>
              <w:t xml:space="preserve">年行动实施方案》涉及“两重点一重大”生产 </w:t>
            </w:r>
            <w:r>
              <w:rPr>
                <w:spacing w:val="-9"/>
                <w:w w:val="95"/>
                <w:sz w:val="21"/>
              </w:rPr>
              <w:t xml:space="preserve">装置和储存设施的企业，新入职的主要负责人 </w:t>
            </w:r>
            <w:r>
              <w:rPr>
                <w:spacing w:val="-10"/>
                <w:w w:val="95"/>
                <w:sz w:val="21"/>
              </w:rPr>
              <w:t xml:space="preserve">和主管生产、设备、技术、安全的负责人及安 </w:t>
            </w:r>
            <w:r>
              <w:rPr>
                <w:spacing w:val="-12"/>
                <w:w w:val="95"/>
                <w:sz w:val="21"/>
              </w:rPr>
              <w:t xml:space="preserve">全生产管理人员必须具备化学、化工、安全等 </w:t>
            </w:r>
            <w:r>
              <w:rPr>
                <w:spacing w:val="-12"/>
                <w:sz w:val="21"/>
              </w:rPr>
              <w:t>相关专业大专及以上学历或化工类中级及以</w:t>
            </w:r>
          </w:p>
          <w:p>
            <w:pPr>
              <w:pStyle w:val="7"/>
              <w:ind w:left="107"/>
              <w:rPr>
                <w:sz w:val="21"/>
              </w:rPr>
            </w:pPr>
            <w:r>
              <w:rPr>
                <w:sz w:val="21"/>
              </w:rPr>
              <w:t>上职称，新入职的涉及重大危险源、重点监管</w:t>
            </w:r>
          </w:p>
        </w:tc>
        <w:tc>
          <w:tcPr>
            <w:tcW w:w="2606" w:type="dxa"/>
            <w:tcBorders>
              <w:top w:val="nil"/>
              <w:bottom w:val="nil"/>
            </w:tcBorders>
            <w:vAlign w:val="top"/>
          </w:tcPr>
          <w:p>
            <w:pPr>
              <w:pStyle w:val="7"/>
              <w:spacing w:before="24" w:line="285" w:lineRule="auto"/>
              <w:ind w:left="147" w:right="137"/>
              <w:jc w:val="center"/>
              <w:rPr>
                <w:sz w:val="21"/>
              </w:rPr>
            </w:pPr>
            <w:r>
              <w:rPr>
                <w:sz w:val="21"/>
              </w:rPr>
              <w:t>员培训合格证明；特种作业人员操作资格证。上述人员学历证明。</w:t>
            </w:r>
          </w:p>
          <w:p>
            <w:pPr>
              <w:pStyle w:val="7"/>
              <w:spacing w:line="269" w:lineRule="exact"/>
              <w:ind w:left="126" w:right="119"/>
              <w:jc w:val="center"/>
              <w:rPr>
                <w:sz w:val="21"/>
              </w:rPr>
            </w:pPr>
            <w:r>
              <w:rPr>
                <w:sz w:val="21"/>
              </w:rPr>
              <w:t>2.现场检查：</w:t>
            </w:r>
          </w:p>
          <w:p>
            <w:pPr>
              <w:pStyle w:val="7"/>
              <w:spacing w:before="3" w:line="322" w:lineRule="exact"/>
              <w:ind w:left="147" w:right="137"/>
              <w:jc w:val="center"/>
              <w:rPr>
                <w:sz w:val="21"/>
              </w:rPr>
            </w:pPr>
            <w:r>
              <w:rPr>
                <w:sz w:val="21"/>
              </w:rPr>
              <w:t>随机抽查安全管理人员、危险工艺岗位作业人员、</w:t>
            </w:r>
          </w:p>
        </w:tc>
        <w:tc>
          <w:tcPr>
            <w:tcW w:w="4107" w:type="dxa"/>
            <w:tcBorders>
              <w:top w:val="nil"/>
              <w:bottom w:val="nil"/>
            </w:tcBorders>
            <w:vAlign w:val="top"/>
          </w:tcPr>
          <w:p>
            <w:pPr>
              <w:pStyle w:val="7"/>
              <w:spacing w:before="44" w:line="314" w:lineRule="auto"/>
              <w:ind w:left="106" w:right="97"/>
              <w:jc w:val="both"/>
              <w:rPr>
                <w:sz w:val="19"/>
              </w:rPr>
            </w:pPr>
            <w:r>
              <w:rPr>
                <w:color w:val="333333"/>
                <w:spacing w:val="-1"/>
                <w:sz w:val="19"/>
              </w:rPr>
              <w:t>以处五万元以下的罚款;逾期未改正的，责令停产停业整顿，并处五万元以上十万元以下的罚款，对其直接负责的主管人员和其他直接责任人员处一万元以上二万元以下的罚款:</w:t>
            </w:r>
            <w:r>
              <w:rPr>
                <w:color w:val="333333"/>
                <w:sz w:val="19"/>
              </w:rPr>
              <w:t>（一</w:t>
            </w:r>
            <w:r>
              <w:rPr>
                <w:color w:val="333333"/>
                <w:spacing w:val="-3"/>
                <w:sz w:val="19"/>
              </w:rPr>
              <w:t>）</w:t>
            </w:r>
            <w:r>
              <w:rPr>
                <w:color w:val="333333"/>
                <w:sz w:val="19"/>
              </w:rPr>
              <w:t>未按照规定设置安全生产管理机构或者配备安全</w:t>
            </w:r>
          </w:p>
          <w:p>
            <w:pPr>
              <w:pStyle w:val="7"/>
              <w:spacing w:before="7"/>
              <w:ind w:left="152"/>
              <w:rPr>
                <w:sz w:val="19"/>
              </w:rPr>
            </w:pPr>
            <w:r>
              <w:rPr>
                <w:color w:val="333333"/>
                <w:sz w:val="19"/>
              </w:rPr>
              <w:t>生产管理人员的;...（七）特种作业人员未按</w:t>
            </w:r>
          </w:p>
        </w:tc>
      </w:tr>
      <w:tr>
        <w:trPr>
          <w:trHeight w:val="319" w:hRule="atLeast"/>
        </w:trPr>
        <w:tc>
          <w:tcPr>
            <w:tcW w:w="817" w:type="dxa"/>
            <w:tcBorders>
              <w:top w:val="nil"/>
              <w:bottom w:val="nil"/>
            </w:tcBorders>
            <w:vAlign w:val="top"/>
          </w:tcPr>
          <w:p>
            <w:pPr>
              <w:pStyle w:val="7"/>
              <w:rPr>
                <w:rFonts w:ascii="Times New Roman"/>
                <w:sz w:val="20"/>
              </w:rPr>
            </w:pPr>
          </w:p>
        </w:tc>
        <w:tc>
          <w:tcPr>
            <w:tcW w:w="1843" w:type="dxa"/>
            <w:tcBorders>
              <w:top w:val="nil"/>
              <w:bottom w:val="nil"/>
            </w:tcBorders>
            <w:vAlign w:val="top"/>
          </w:tcPr>
          <w:p>
            <w:pPr>
              <w:pStyle w:val="7"/>
              <w:rPr>
                <w:rFonts w:ascii="Times New Roman"/>
                <w:sz w:val="20"/>
              </w:rPr>
            </w:pPr>
          </w:p>
        </w:tc>
        <w:tc>
          <w:tcPr>
            <w:tcW w:w="4371" w:type="dxa"/>
            <w:tcBorders>
              <w:top w:val="nil"/>
              <w:bottom w:val="nil"/>
            </w:tcBorders>
            <w:vAlign w:val="top"/>
          </w:tcPr>
          <w:p>
            <w:pPr>
              <w:pStyle w:val="7"/>
              <w:spacing w:before="24"/>
              <w:ind w:left="107"/>
              <w:rPr>
                <w:sz w:val="21"/>
              </w:rPr>
            </w:pPr>
            <w:r>
              <w:rPr>
                <w:sz w:val="21"/>
              </w:rPr>
              <w:t>化工工艺的生产装置、储存设施操作人员必须</w:t>
            </w:r>
          </w:p>
        </w:tc>
        <w:tc>
          <w:tcPr>
            <w:tcW w:w="2606" w:type="dxa"/>
            <w:tcBorders>
              <w:top w:val="nil"/>
              <w:bottom w:val="nil"/>
            </w:tcBorders>
            <w:vAlign w:val="top"/>
          </w:tcPr>
          <w:p>
            <w:pPr>
              <w:pStyle w:val="7"/>
              <w:spacing w:before="24"/>
              <w:ind w:left="126" w:right="119"/>
              <w:jc w:val="center"/>
              <w:rPr>
                <w:sz w:val="21"/>
              </w:rPr>
            </w:pPr>
            <w:r>
              <w:rPr>
                <w:sz w:val="21"/>
              </w:rPr>
              <w:t>特殊作业人员相关资质和</w:t>
            </w:r>
          </w:p>
        </w:tc>
        <w:tc>
          <w:tcPr>
            <w:tcW w:w="4107" w:type="dxa"/>
            <w:tcBorders>
              <w:top w:val="nil"/>
              <w:bottom w:val="nil"/>
            </w:tcBorders>
            <w:vAlign w:val="top"/>
          </w:tcPr>
          <w:p>
            <w:pPr>
              <w:pStyle w:val="7"/>
              <w:spacing w:before="44"/>
              <w:ind w:left="71" w:right="61"/>
              <w:jc w:val="center"/>
              <w:rPr>
                <w:sz w:val="19"/>
              </w:rPr>
            </w:pPr>
            <w:r>
              <w:rPr>
                <w:color w:val="333333"/>
                <w:sz w:val="19"/>
              </w:rPr>
              <w:t>照规定经专门的安全作业培训并取得相应资</w:t>
            </w:r>
          </w:p>
        </w:tc>
      </w:tr>
      <w:tr>
        <w:trPr>
          <w:trHeight w:val="320" w:hRule="atLeast"/>
        </w:trPr>
        <w:tc>
          <w:tcPr>
            <w:tcW w:w="817" w:type="dxa"/>
            <w:tcBorders>
              <w:top w:val="nil"/>
              <w:bottom w:val="nil"/>
            </w:tcBorders>
            <w:vAlign w:val="top"/>
          </w:tcPr>
          <w:p>
            <w:pPr>
              <w:pStyle w:val="7"/>
              <w:rPr>
                <w:rFonts w:ascii="Times New Roman"/>
                <w:sz w:val="20"/>
              </w:rPr>
            </w:pPr>
          </w:p>
        </w:tc>
        <w:tc>
          <w:tcPr>
            <w:tcW w:w="1843" w:type="dxa"/>
            <w:tcBorders>
              <w:top w:val="nil"/>
              <w:bottom w:val="nil"/>
            </w:tcBorders>
            <w:vAlign w:val="top"/>
          </w:tcPr>
          <w:p>
            <w:pPr>
              <w:pStyle w:val="7"/>
              <w:rPr>
                <w:rFonts w:ascii="Times New Roman"/>
                <w:sz w:val="20"/>
              </w:rPr>
            </w:pPr>
          </w:p>
        </w:tc>
        <w:tc>
          <w:tcPr>
            <w:tcW w:w="4371" w:type="dxa"/>
            <w:tcBorders>
              <w:top w:val="nil"/>
              <w:bottom w:val="nil"/>
            </w:tcBorders>
            <w:vAlign w:val="top"/>
          </w:tcPr>
          <w:p>
            <w:pPr>
              <w:pStyle w:val="7"/>
              <w:spacing w:before="24"/>
              <w:ind w:left="107"/>
              <w:rPr>
                <w:sz w:val="21"/>
              </w:rPr>
            </w:pPr>
            <w:r>
              <w:rPr>
                <w:sz w:val="21"/>
              </w:rPr>
              <w:t>具备高中及以上学历或化工类中等及以上职</w:t>
            </w:r>
          </w:p>
        </w:tc>
        <w:tc>
          <w:tcPr>
            <w:tcW w:w="2606" w:type="dxa"/>
            <w:tcBorders>
              <w:top w:val="nil"/>
              <w:bottom w:val="nil"/>
            </w:tcBorders>
            <w:vAlign w:val="top"/>
          </w:tcPr>
          <w:p>
            <w:pPr>
              <w:pStyle w:val="7"/>
              <w:spacing w:before="24"/>
              <w:ind w:left="126" w:right="119"/>
              <w:jc w:val="center"/>
              <w:rPr>
                <w:sz w:val="21"/>
              </w:rPr>
            </w:pPr>
            <w:r>
              <w:rPr>
                <w:sz w:val="21"/>
              </w:rPr>
              <w:t>学历。</w:t>
            </w:r>
          </w:p>
        </w:tc>
        <w:tc>
          <w:tcPr>
            <w:tcW w:w="4107" w:type="dxa"/>
            <w:tcBorders>
              <w:top w:val="nil"/>
              <w:bottom w:val="nil"/>
            </w:tcBorders>
            <w:vAlign w:val="top"/>
          </w:tcPr>
          <w:p>
            <w:pPr>
              <w:pStyle w:val="7"/>
              <w:spacing w:before="44"/>
              <w:ind w:left="68" w:right="61"/>
              <w:jc w:val="center"/>
              <w:rPr>
                <w:sz w:val="19"/>
              </w:rPr>
            </w:pPr>
            <w:r>
              <w:rPr>
                <w:color w:val="333333"/>
                <w:sz w:val="19"/>
              </w:rPr>
              <w:t>格，上岗作业的。</w:t>
            </w:r>
          </w:p>
        </w:tc>
      </w:tr>
      <w:tr>
        <w:trPr>
          <w:trHeight w:val="320" w:hRule="atLeast"/>
        </w:trPr>
        <w:tc>
          <w:tcPr>
            <w:tcW w:w="817" w:type="dxa"/>
            <w:tcBorders>
              <w:top w:val="nil"/>
              <w:bottom w:val="nil"/>
            </w:tcBorders>
            <w:vAlign w:val="top"/>
          </w:tcPr>
          <w:p>
            <w:pPr>
              <w:pStyle w:val="7"/>
              <w:rPr>
                <w:rFonts w:ascii="Times New Roman"/>
                <w:sz w:val="20"/>
              </w:rPr>
            </w:pPr>
          </w:p>
        </w:tc>
        <w:tc>
          <w:tcPr>
            <w:tcW w:w="1843" w:type="dxa"/>
            <w:tcBorders>
              <w:top w:val="nil"/>
              <w:bottom w:val="nil"/>
            </w:tcBorders>
            <w:vAlign w:val="top"/>
          </w:tcPr>
          <w:p>
            <w:pPr>
              <w:pStyle w:val="7"/>
              <w:rPr>
                <w:rFonts w:ascii="Times New Roman"/>
                <w:sz w:val="20"/>
              </w:rPr>
            </w:pPr>
          </w:p>
        </w:tc>
        <w:tc>
          <w:tcPr>
            <w:tcW w:w="4371" w:type="dxa"/>
            <w:tcBorders>
              <w:top w:val="nil"/>
              <w:bottom w:val="nil"/>
            </w:tcBorders>
            <w:vAlign w:val="top"/>
          </w:tcPr>
          <w:p>
            <w:pPr>
              <w:pStyle w:val="7"/>
              <w:spacing w:before="26"/>
              <w:ind w:left="107"/>
              <w:rPr>
                <w:sz w:val="21"/>
              </w:rPr>
            </w:pPr>
            <w:r>
              <w:rPr>
                <w:sz w:val="21"/>
              </w:rPr>
              <w:t>业教育水平，新入职的涉及爆炸危险性化学品</w:t>
            </w:r>
          </w:p>
        </w:tc>
        <w:tc>
          <w:tcPr>
            <w:tcW w:w="2606" w:type="dxa"/>
            <w:tcBorders>
              <w:top w:val="nil"/>
              <w:bottom w:val="nil"/>
            </w:tcBorders>
            <w:vAlign w:val="top"/>
          </w:tcPr>
          <w:p>
            <w:pPr>
              <w:pStyle w:val="7"/>
              <w:rPr>
                <w:rFonts w:ascii="Times New Roman"/>
                <w:sz w:val="20"/>
              </w:rPr>
            </w:pPr>
          </w:p>
        </w:tc>
        <w:tc>
          <w:tcPr>
            <w:tcW w:w="4107" w:type="dxa"/>
            <w:tcBorders>
              <w:top w:val="nil"/>
              <w:bottom w:val="nil"/>
            </w:tcBorders>
            <w:vAlign w:val="top"/>
          </w:tcPr>
          <w:p>
            <w:pPr>
              <w:pStyle w:val="7"/>
              <w:rPr>
                <w:rFonts w:ascii="Times New Roman"/>
                <w:sz w:val="20"/>
              </w:rPr>
            </w:pPr>
          </w:p>
        </w:tc>
      </w:tr>
      <w:tr>
        <w:trPr>
          <w:trHeight w:val="319" w:hRule="atLeast"/>
        </w:trPr>
        <w:tc>
          <w:tcPr>
            <w:tcW w:w="817" w:type="dxa"/>
            <w:tcBorders>
              <w:top w:val="nil"/>
              <w:bottom w:val="nil"/>
            </w:tcBorders>
            <w:vAlign w:val="top"/>
          </w:tcPr>
          <w:p>
            <w:pPr>
              <w:pStyle w:val="7"/>
              <w:rPr>
                <w:rFonts w:ascii="Times New Roman"/>
                <w:sz w:val="20"/>
              </w:rPr>
            </w:pPr>
          </w:p>
        </w:tc>
        <w:tc>
          <w:tcPr>
            <w:tcW w:w="1843" w:type="dxa"/>
            <w:tcBorders>
              <w:top w:val="nil"/>
              <w:bottom w:val="nil"/>
            </w:tcBorders>
            <w:vAlign w:val="top"/>
          </w:tcPr>
          <w:p>
            <w:pPr>
              <w:pStyle w:val="7"/>
              <w:rPr>
                <w:rFonts w:ascii="Times New Roman"/>
                <w:sz w:val="20"/>
              </w:rPr>
            </w:pPr>
          </w:p>
        </w:tc>
        <w:tc>
          <w:tcPr>
            <w:tcW w:w="4371" w:type="dxa"/>
            <w:tcBorders>
              <w:top w:val="nil"/>
              <w:bottom w:val="nil"/>
            </w:tcBorders>
            <w:vAlign w:val="top"/>
          </w:tcPr>
          <w:p>
            <w:pPr>
              <w:pStyle w:val="7"/>
              <w:spacing w:before="24"/>
              <w:ind w:left="107"/>
              <w:rPr>
                <w:sz w:val="21"/>
              </w:rPr>
            </w:pPr>
            <w:r>
              <w:rPr>
                <w:sz w:val="21"/>
              </w:rPr>
              <w:t>的生产装置和储存设施的操作人员必须具备</w:t>
            </w:r>
          </w:p>
        </w:tc>
        <w:tc>
          <w:tcPr>
            <w:tcW w:w="2606" w:type="dxa"/>
            <w:tcBorders>
              <w:top w:val="nil"/>
              <w:bottom w:val="nil"/>
            </w:tcBorders>
            <w:vAlign w:val="top"/>
          </w:tcPr>
          <w:p>
            <w:pPr>
              <w:pStyle w:val="7"/>
              <w:rPr>
                <w:rFonts w:ascii="Times New Roman"/>
                <w:sz w:val="20"/>
              </w:rPr>
            </w:pPr>
          </w:p>
        </w:tc>
        <w:tc>
          <w:tcPr>
            <w:tcW w:w="4107" w:type="dxa"/>
            <w:tcBorders>
              <w:top w:val="nil"/>
              <w:bottom w:val="nil"/>
            </w:tcBorders>
            <w:vAlign w:val="top"/>
          </w:tcPr>
          <w:p>
            <w:pPr>
              <w:pStyle w:val="7"/>
              <w:rPr>
                <w:rFonts w:ascii="Times New Roman"/>
                <w:sz w:val="20"/>
              </w:rPr>
            </w:pPr>
          </w:p>
        </w:tc>
      </w:tr>
      <w:tr>
        <w:trPr>
          <w:trHeight w:val="717" w:hRule="atLeast"/>
        </w:trPr>
        <w:tc>
          <w:tcPr>
            <w:tcW w:w="817" w:type="dxa"/>
            <w:tcBorders>
              <w:top w:val="nil"/>
            </w:tcBorders>
            <w:vAlign w:val="top"/>
          </w:tcPr>
          <w:p>
            <w:pPr>
              <w:pStyle w:val="7"/>
              <w:rPr>
                <w:rFonts w:ascii="Times New Roman"/>
                <w:sz w:val="20"/>
              </w:rPr>
            </w:pPr>
          </w:p>
        </w:tc>
        <w:tc>
          <w:tcPr>
            <w:tcW w:w="1843" w:type="dxa"/>
            <w:tcBorders>
              <w:top w:val="nil"/>
            </w:tcBorders>
            <w:vAlign w:val="top"/>
          </w:tcPr>
          <w:p>
            <w:pPr>
              <w:pStyle w:val="7"/>
              <w:rPr>
                <w:rFonts w:ascii="Times New Roman"/>
                <w:sz w:val="20"/>
              </w:rPr>
            </w:pPr>
          </w:p>
        </w:tc>
        <w:tc>
          <w:tcPr>
            <w:tcW w:w="4371" w:type="dxa"/>
            <w:tcBorders>
              <w:top w:val="nil"/>
            </w:tcBorders>
            <w:vAlign w:val="top"/>
          </w:tcPr>
          <w:p>
            <w:pPr>
              <w:pStyle w:val="7"/>
              <w:spacing w:before="24"/>
              <w:ind w:left="107"/>
              <w:rPr>
                <w:sz w:val="21"/>
              </w:rPr>
            </w:pPr>
            <w:r>
              <w:rPr>
                <w:sz w:val="21"/>
              </w:rPr>
              <w:t>化工类大专及以上学历。</w:t>
            </w:r>
          </w:p>
        </w:tc>
        <w:tc>
          <w:tcPr>
            <w:tcW w:w="2606" w:type="dxa"/>
            <w:tcBorders>
              <w:top w:val="nil"/>
            </w:tcBorders>
            <w:vAlign w:val="top"/>
          </w:tcPr>
          <w:p>
            <w:pPr>
              <w:pStyle w:val="7"/>
              <w:rPr>
                <w:rFonts w:ascii="Times New Roman"/>
                <w:sz w:val="20"/>
              </w:rPr>
            </w:pPr>
          </w:p>
        </w:tc>
        <w:tc>
          <w:tcPr>
            <w:tcW w:w="4107" w:type="dxa"/>
            <w:tcBorders>
              <w:top w:val="nil"/>
            </w:tcBorders>
            <w:vAlign w:val="top"/>
          </w:tcPr>
          <w:p>
            <w:pPr>
              <w:pStyle w:val="7"/>
              <w:rPr>
                <w:rFonts w:ascii="Times New Roman"/>
                <w:sz w:val="20"/>
              </w:rPr>
            </w:pPr>
          </w:p>
        </w:tc>
      </w:tr>
    </w:tbl>
    <w:p>
      <w:pPr>
        <w:spacing w:after="0"/>
        <w:rPr>
          <w:rFonts w:ascii="Times New Roman"/>
          <w:sz w:val="20"/>
        </w:rPr>
        <w:sectPr>
          <w:footerReference r:id="rId7" w:type="default"/>
          <w:pgSz w:w="16840" w:h="11910" w:orient="landscape"/>
          <w:pgMar w:top="1100" w:right="700" w:bottom="1100" w:left="700" w:header="0" w:footer="907"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W w:w="13744" w:type="dxa"/>
        <w:tblInd w:w="7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1843"/>
        <w:gridCol w:w="4371"/>
        <w:gridCol w:w="2606"/>
        <w:gridCol w:w="4107"/>
      </w:tblGrid>
      <w:tr>
        <w:trPr>
          <w:trHeight w:val="533" w:hRule="atLeast"/>
        </w:trPr>
        <w:tc>
          <w:tcPr>
            <w:tcW w:w="817" w:type="dxa"/>
            <w:vAlign w:val="top"/>
          </w:tcPr>
          <w:p>
            <w:pPr>
              <w:pStyle w:val="7"/>
              <w:spacing w:before="136"/>
              <w:ind w:left="146" w:right="138"/>
              <w:jc w:val="center"/>
              <w:rPr>
                <w:rFonts w:hint="eastAsia" w:ascii="黑体" w:eastAsia="黑体"/>
                <w:sz w:val="24"/>
              </w:rPr>
            </w:pPr>
            <w:r>
              <w:rPr>
                <w:rFonts w:hint="eastAsia" w:ascii="黑体" w:eastAsia="黑体"/>
                <w:sz w:val="24"/>
              </w:rPr>
              <w:t>序号</w:t>
            </w:r>
          </w:p>
        </w:tc>
        <w:tc>
          <w:tcPr>
            <w:tcW w:w="1843" w:type="dxa"/>
            <w:vAlign w:val="top"/>
          </w:tcPr>
          <w:p>
            <w:pPr>
              <w:pStyle w:val="7"/>
              <w:spacing w:before="136"/>
              <w:ind w:left="200"/>
              <w:rPr>
                <w:rFonts w:hint="eastAsia" w:ascii="黑体" w:eastAsia="黑体"/>
                <w:sz w:val="24"/>
              </w:rPr>
            </w:pPr>
            <w:r>
              <w:rPr>
                <w:rFonts w:hint="eastAsia" w:ascii="黑体" w:eastAsia="黑体"/>
                <w:sz w:val="24"/>
              </w:rPr>
              <w:t>违法行为描述</w:t>
            </w:r>
          </w:p>
        </w:tc>
        <w:tc>
          <w:tcPr>
            <w:tcW w:w="4371" w:type="dxa"/>
            <w:vAlign w:val="top"/>
          </w:tcPr>
          <w:p>
            <w:pPr>
              <w:pStyle w:val="7"/>
              <w:spacing w:before="136"/>
              <w:ind w:left="1685" w:right="1675"/>
              <w:jc w:val="center"/>
              <w:rPr>
                <w:rFonts w:hint="eastAsia" w:ascii="黑体" w:eastAsia="黑体"/>
                <w:sz w:val="24"/>
              </w:rPr>
            </w:pPr>
            <w:r>
              <w:rPr>
                <w:rFonts w:hint="eastAsia" w:ascii="黑体" w:eastAsia="黑体"/>
                <w:sz w:val="24"/>
              </w:rPr>
              <w:t>执法依据</w:t>
            </w:r>
          </w:p>
        </w:tc>
        <w:tc>
          <w:tcPr>
            <w:tcW w:w="2606" w:type="dxa"/>
            <w:vAlign w:val="top"/>
          </w:tcPr>
          <w:p>
            <w:pPr>
              <w:pStyle w:val="7"/>
              <w:spacing w:before="136"/>
              <w:ind w:left="821"/>
              <w:rPr>
                <w:rFonts w:hint="eastAsia" w:ascii="黑体" w:eastAsia="黑体"/>
                <w:sz w:val="24"/>
              </w:rPr>
            </w:pPr>
            <w:r>
              <w:rPr>
                <w:rFonts w:hint="eastAsia" w:ascii="黑体" w:eastAsia="黑体"/>
                <w:sz w:val="24"/>
              </w:rPr>
              <w:t>检查方式</w:t>
            </w:r>
          </w:p>
        </w:tc>
        <w:tc>
          <w:tcPr>
            <w:tcW w:w="4107" w:type="dxa"/>
            <w:vAlign w:val="top"/>
          </w:tcPr>
          <w:p>
            <w:pPr>
              <w:pStyle w:val="7"/>
              <w:spacing w:before="136"/>
              <w:ind w:left="70" w:right="61"/>
              <w:jc w:val="center"/>
              <w:rPr>
                <w:rFonts w:hint="eastAsia" w:ascii="黑体" w:eastAsia="黑体"/>
                <w:sz w:val="24"/>
              </w:rPr>
            </w:pPr>
            <w:r>
              <w:rPr>
                <w:rFonts w:hint="eastAsia" w:ascii="黑体" w:eastAsia="黑体"/>
                <w:sz w:val="24"/>
              </w:rPr>
              <w:t>处罚依据</w:t>
            </w:r>
          </w:p>
        </w:tc>
      </w:tr>
      <w:tr>
        <w:trPr>
          <w:trHeight w:val="5654" w:hRule="atLeast"/>
        </w:trPr>
        <w:tc>
          <w:tcPr>
            <w:tcW w:w="817" w:type="dxa"/>
            <w:tcBorders>
              <w:bottom w:val="nil"/>
            </w:tcBorders>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4"/>
              <w:rPr>
                <w:rFonts w:ascii="Times New Roman"/>
                <w:sz w:val="16"/>
              </w:rPr>
            </w:pPr>
          </w:p>
          <w:p>
            <w:pPr>
              <w:pStyle w:val="7"/>
              <w:ind w:left="7"/>
              <w:jc w:val="center"/>
              <w:rPr>
                <w:sz w:val="21"/>
              </w:rPr>
            </w:pPr>
            <w:r>
              <w:rPr>
                <w:w w:val="99"/>
                <w:sz w:val="21"/>
              </w:rPr>
              <w:t>2</w:t>
            </w:r>
          </w:p>
        </w:tc>
        <w:tc>
          <w:tcPr>
            <w:tcW w:w="1843" w:type="dxa"/>
            <w:tcBorders>
              <w:bottom w:val="nil"/>
            </w:tcBorders>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48" w:line="285" w:lineRule="auto"/>
              <w:ind w:left="106" w:right="96"/>
              <w:jc w:val="center"/>
              <w:rPr>
                <w:sz w:val="21"/>
              </w:rPr>
            </w:pPr>
            <w:r>
              <w:rPr>
                <w:sz w:val="21"/>
              </w:rPr>
              <w:t>未按规定落实动火、进入受限空</w:t>
            </w:r>
            <w:r>
              <w:rPr>
                <w:spacing w:val="-10"/>
                <w:sz w:val="21"/>
              </w:rPr>
              <w:t>间、盲板抽堵、高</w:t>
            </w:r>
            <w:r>
              <w:rPr>
                <w:spacing w:val="-9"/>
                <w:sz w:val="21"/>
              </w:rPr>
              <w:t>处作业、吊装、临时用电、动土、断</w:t>
            </w:r>
            <w:r>
              <w:rPr>
                <w:sz w:val="21"/>
              </w:rPr>
              <w:t>路等特殊作业安全管理</w:t>
            </w:r>
          </w:p>
        </w:tc>
        <w:tc>
          <w:tcPr>
            <w:tcW w:w="4371" w:type="dxa"/>
            <w:tcBorders>
              <w:bottom w:val="nil"/>
            </w:tcBorders>
            <w:vAlign w:val="top"/>
          </w:tcPr>
          <w:p>
            <w:pPr>
              <w:pStyle w:val="7"/>
              <w:spacing w:before="86" w:line="285" w:lineRule="auto"/>
              <w:ind w:left="107" w:right="51"/>
              <w:rPr>
                <w:sz w:val="21"/>
              </w:rPr>
            </w:pPr>
            <w:r>
              <w:rPr>
                <w:sz w:val="21"/>
              </w:rPr>
              <w:t>【法规】《安全生产法》</w:t>
            </w:r>
            <w:r>
              <w:rPr>
                <w:color w:val="333333"/>
                <w:spacing w:val="-2"/>
                <w:sz w:val="21"/>
              </w:rPr>
              <w:t>第四十条 生产经营</w:t>
            </w:r>
            <w:r>
              <w:rPr>
                <w:color w:val="333333"/>
                <w:spacing w:val="-8"/>
                <w:sz w:val="21"/>
              </w:rPr>
              <w:t xml:space="preserve">单位进行爆破、吊装以及国务院安全生产监督管理部门会同国务院有关部门规定的其他危 险作业，应当安排专门人员进行现场安全管 </w:t>
            </w:r>
            <w:r>
              <w:rPr>
                <w:color w:val="333333"/>
                <w:spacing w:val="-8"/>
                <w:w w:val="95"/>
                <w:sz w:val="21"/>
              </w:rPr>
              <w:t>理，确保操作规程的遵守和安全措施的落实。</w:t>
            </w:r>
          </w:p>
          <w:p>
            <w:pPr>
              <w:pStyle w:val="7"/>
              <w:spacing w:line="267" w:lineRule="exact"/>
              <w:ind w:left="107" w:right="-15"/>
              <w:rPr>
                <w:sz w:val="21"/>
              </w:rPr>
            </w:pPr>
            <w:r>
              <w:rPr>
                <w:color w:val="333333"/>
                <w:sz w:val="21"/>
              </w:rPr>
              <w:t>【标准</w:t>
            </w:r>
            <w:r>
              <w:rPr>
                <w:color w:val="333333"/>
                <w:spacing w:val="-14"/>
                <w:sz w:val="21"/>
              </w:rPr>
              <w:t>】《化学品生产单位特殊作业安全规范》</w:t>
            </w:r>
          </w:p>
          <w:p>
            <w:pPr>
              <w:pStyle w:val="7"/>
              <w:spacing w:before="52"/>
              <w:ind w:left="107"/>
              <w:rPr>
                <w:sz w:val="21"/>
              </w:rPr>
            </w:pPr>
            <w:r>
              <w:rPr>
                <w:color w:val="333333"/>
                <w:sz w:val="21"/>
              </w:rPr>
              <w:t>（GB30871-2014）</w:t>
            </w:r>
          </w:p>
          <w:p>
            <w:pPr>
              <w:pStyle w:val="7"/>
              <w:spacing w:before="51"/>
              <w:ind w:left="107"/>
              <w:rPr>
                <w:sz w:val="21"/>
              </w:rPr>
            </w:pPr>
            <w:r>
              <w:rPr>
                <w:color w:val="333333"/>
                <w:sz w:val="21"/>
              </w:rPr>
              <w:t>……</w:t>
            </w:r>
          </w:p>
          <w:p>
            <w:pPr>
              <w:pStyle w:val="7"/>
              <w:spacing w:before="5"/>
              <w:rPr>
                <w:rFonts w:ascii="Times New Roman"/>
                <w:sz w:val="26"/>
              </w:rPr>
            </w:pPr>
          </w:p>
          <w:p>
            <w:pPr>
              <w:pStyle w:val="7"/>
              <w:numPr>
                <w:ilvl w:val="0"/>
                <w:numId w:val="13"/>
              </w:numPr>
              <w:tabs>
                <w:tab w:val="left" w:pos="422"/>
              </w:tabs>
              <w:spacing w:before="0" w:after="0" w:line="278" w:lineRule="auto"/>
              <w:ind w:left="107" w:right="97" w:firstLine="0"/>
              <w:jc w:val="both"/>
              <w:rPr>
                <w:sz w:val="21"/>
              </w:rPr>
            </w:pPr>
            <w:r>
              <w:rPr>
                <w:color w:val="333333"/>
                <w:sz w:val="21"/>
              </w:rPr>
              <w:t>动火、进入受限空间、盲板抽堵、高处作</w:t>
            </w:r>
            <w:r>
              <w:rPr>
                <w:color w:val="333333"/>
                <w:spacing w:val="-7"/>
                <w:w w:val="95"/>
                <w:sz w:val="21"/>
              </w:rPr>
              <w:t xml:space="preserve">业、吊装、临时用电、动土、断路等特殊作业 </w:t>
            </w:r>
            <w:r>
              <w:rPr>
                <w:color w:val="333333"/>
                <w:spacing w:val="-7"/>
                <w:sz w:val="21"/>
              </w:rPr>
              <w:t>应按制度办理安全作业证。</w:t>
            </w:r>
          </w:p>
          <w:p>
            <w:pPr>
              <w:pStyle w:val="7"/>
              <w:spacing w:before="4"/>
              <w:rPr>
                <w:rFonts w:ascii="Times New Roman"/>
                <w:sz w:val="24"/>
              </w:rPr>
            </w:pPr>
          </w:p>
          <w:p>
            <w:pPr>
              <w:pStyle w:val="7"/>
              <w:numPr>
                <w:ilvl w:val="0"/>
                <w:numId w:val="13"/>
              </w:numPr>
              <w:tabs>
                <w:tab w:val="left" w:pos="422"/>
              </w:tabs>
              <w:spacing w:before="1" w:after="0" w:line="278" w:lineRule="auto"/>
              <w:ind w:left="107" w:right="99" w:firstLine="0"/>
              <w:jc w:val="both"/>
              <w:rPr>
                <w:sz w:val="21"/>
              </w:rPr>
            </w:pPr>
            <w:r>
              <w:rPr>
                <w:color w:val="333333"/>
                <w:sz w:val="21"/>
              </w:rPr>
              <w:t xml:space="preserve">特殊作业安全作业证要求填写符合规范， </w:t>
            </w:r>
            <w:r>
              <w:rPr>
                <w:color w:val="333333"/>
                <w:spacing w:val="-3"/>
                <w:w w:val="95"/>
                <w:sz w:val="21"/>
              </w:rPr>
              <w:t xml:space="preserve">动火作业按规定进行可燃气体分析，受限空间 </w:t>
            </w:r>
            <w:r>
              <w:rPr>
                <w:color w:val="333333"/>
                <w:spacing w:val="-7"/>
                <w:w w:val="95"/>
                <w:sz w:val="21"/>
              </w:rPr>
              <w:t xml:space="preserve">作业按规定进行可燃气体、氧含量和有毒气体 </w:t>
            </w:r>
            <w:r>
              <w:rPr>
                <w:color w:val="333333"/>
                <w:spacing w:val="-7"/>
                <w:sz w:val="21"/>
              </w:rPr>
              <w:t>分析。</w:t>
            </w:r>
          </w:p>
        </w:tc>
        <w:tc>
          <w:tcPr>
            <w:tcW w:w="2606" w:type="dxa"/>
            <w:tcBorders>
              <w:bottom w:val="nil"/>
            </w:tcBorders>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numPr>
                <w:ilvl w:val="0"/>
                <w:numId w:val="14"/>
              </w:numPr>
              <w:tabs>
                <w:tab w:val="left" w:pos="359"/>
              </w:tabs>
              <w:spacing w:before="128" w:after="0" w:line="285" w:lineRule="auto"/>
              <w:ind w:left="147" w:right="137" w:firstLine="0"/>
              <w:jc w:val="left"/>
              <w:rPr>
                <w:sz w:val="21"/>
              </w:rPr>
            </w:pPr>
            <w:r>
              <w:rPr>
                <w:spacing w:val="-2"/>
                <w:sz w:val="21"/>
              </w:rPr>
              <w:t>查阅资料：查阅企业特使作业安全管理制度；近三个月以来各类安全作业</w:t>
            </w:r>
            <w:r>
              <w:rPr>
                <w:sz w:val="21"/>
              </w:rPr>
              <w:t>证。</w:t>
            </w:r>
          </w:p>
          <w:p>
            <w:pPr>
              <w:pStyle w:val="7"/>
              <w:numPr>
                <w:ilvl w:val="0"/>
                <w:numId w:val="14"/>
              </w:numPr>
              <w:tabs>
                <w:tab w:val="left" w:pos="885"/>
              </w:tabs>
              <w:spacing w:before="0" w:after="0" w:line="268" w:lineRule="exact"/>
              <w:ind w:left="884" w:right="0" w:hanging="878"/>
              <w:jc w:val="left"/>
              <w:rPr>
                <w:sz w:val="21"/>
              </w:rPr>
            </w:pPr>
            <w:r>
              <w:rPr>
                <w:sz w:val="21"/>
              </w:rPr>
              <w:t>现场检查：</w:t>
            </w:r>
          </w:p>
          <w:p>
            <w:pPr>
              <w:pStyle w:val="7"/>
              <w:spacing w:before="50" w:line="285" w:lineRule="auto"/>
              <w:ind w:left="147" w:right="137"/>
              <w:jc w:val="center"/>
              <w:rPr>
                <w:sz w:val="21"/>
              </w:rPr>
            </w:pPr>
            <w:r>
              <w:rPr>
                <w:sz w:val="21"/>
              </w:rPr>
              <w:t>抽查现场正在进行的特殊作业是否手续齐全、是否由监护人、作业人和监护人是否熟悉风险防控和应急处置措施。</w:t>
            </w:r>
          </w:p>
        </w:tc>
        <w:tc>
          <w:tcPr>
            <w:tcW w:w="4107" w:type="dxa"/>
            <w:tcBorders>
              <w:bottom w:val="nil"/>
            </w:tcBorders>
            <w:vAlign w:val="top"/>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19"/>
              </w:rPr>
            </w:pPr>
          </w:p>
          <w:p>
            <w:pPr>
              <w:pStyle w:val="7"/>
              <w:spacing w:line="314" w:lineRule="auto"/>
              <w:ind w:left="106" w:right="97" w:firstLine="2"/>
              <w:jc w:val="center"/>
              <w:rPr>
                <w:sz w:val="19"/>
              </w:rPr>
            </w:pPr>
            <w:r>
              <w:rPr>
                <w:spacing w:val="-6"/>
                <w:sz w:val="21"/>
              </w:rPr>
              <w:t>【法规】《安全生产法》</w:t>
            </w:r>
            <w:r>
              <w:rPr>
                <w:color w:val="333333"/>
                <w:spacing w:val="-3"/>
                <w:sz w:val="19"/>
              </w:rPr>
              <w:t>第九十八条 生产经营单位有下列行为之一的，责令限期改正，可</w:t>
            </w:r>
            <w:r>
              <w:rPr>
                <w:color w:val="333333"/>
                <w:spacing w:val="-2"/>
                <w:sz w:val="19"/>
              </w:rPr>
              <w:t>以处十万元以下的罚款;逾期未改正的，责令停产停业整顿，并处十万元以上二十万元以下的罚款，对其直接负责的主管人员和其他直接责任人员处二万元以上五万元以下的罚款;构成犯罪的，依照刑法有关规定追究刑事责任:... (一)生产、经营、运输、储存、使用危险物品或者处置废弃危险物品，未建立专门安全管理</w:t>
            </w:r>
            <w:r>
              <w:rPr>
                <w:color w:val="333333"/>
                <w:spacing w:val="-3"/>
                <w:sz w:val="19"/>
              </w:rPr>
              <w:t>制度、未采取可靠的安全措施的;... (三)进行爆破、吊装...危险作业，未安排专门人员进行</w:t>
            </w:r>
          </w:p>
          <w:p>
            <w:pPr>
              <w:pStyle w:val="7"/>
              <w:spacing w:line="216" w:lineRule="exact"/>
              <w:ind w:left="69" w:right="61"/>
              <w:jc w:val="center"/>
              <w:rPr>
                <w:sz w:val="19"/>
              </w:rPr>
            </w:pPr>
            <w:r>
              <w:rPr>
                <w:color w:val="333333"/>
                <w:sz w:val="19"/>
              </w:rPr>
              <w:t>现场安全管理的;</w:t>
            </w:r>
          </w:p>
        </w:tc>
      </w:tr>
      <w:tr>
        <w:trPr>
          <w:trHeight w:val="732" w:hRule="atLeast"/>
        </w:trPr>
        <w:tc>
          <w:tcPr>
            <w:tcW w:w="817" w:type="dxa"/>
            <w:tcBorders>
              <w:top w:val="nil"/>
              <w:bottom w:val="nil"/>
            </w:tcBorders>
            <w:vAlign w:val="top"/>
          </w:tcPr>
          <w:p>
            <w:pPr>
              <w:pStyle w:val="7"/>
              <w:rPr>
                <w:rFonts w:ascii="Times New Roman"/>
                <w:sz w:val="20"/>
              </w:rPr>
            </w:pPr>
          </w:p>
        </w:tc>
        <w:tc>
          <w:tcPr>
            <w:tcW w:w="1843" w:type="dxa"/>
            <w:tcBorders>
              <w:top w:val="nil"/>
              <w:bottom w:val="nil"/>
            </w:tcBorders>
            <w:vAlign w:val="top"/>
          </w:tcPr>
          <w:p>
            <w:pPr>
              <w:pStyle w:val="7"/>
              <w:rPr>
                <w:rFonts w:ascii="Times New Roman"/>
                <w:sz w:val="20"/>
              </w:rPr>
            </w:pPr>
          </w:p>
        </w:tc>
        <w:tc>
          <w:tcPr>
            <w:tcW w:w="4371" w:type="dxa"/>
            <w:tcBorders>
              <w:top w:val="nil"/>
              <w:bottom w:val="nil"/>
            </w:tcBorders>
            <w:vAlign w:val="top"/>
          </w:tcPr>
          <w:p>
            <w:pPr>
              <w:pStyle w:val="7"/>
              <w:spacing w:line="278" w:lineRule="auto"/>
              <w:ind w:left="107" w:right="159"/>
              <w:rPr>
                <w:sz w:val="21"/>
              </w:rPr>
            </w:pPr>
            <w:r>
              <w:rPr>
                <w:color w:val="333333"/>
                <w:sz w:val="21"/>
              </w:rPr>
              <w:t>3. 开展特殊作业前，应进行风险分析和现场安全交底。</w:t>
            </w:r>
          </w:p>
        </w:tc>
        <w:tc>
          <w:tcPr>
            <w:tcW w:w="2606" w:type="dxa"/>
            <w:tcBorders>
              <w:top w:val="nil"/>
              <w:bottom w:val="nil"/>
            </w:tcBorders>
            <w:vAlign w:val="top"/>
          </w:tcPr>
          <w:p>
            <w:pPr>
              <w:pStyle w:val="7"/>
              <w:rPr>
                <w:rFonts w:ascii="Times New Roman"/>
                <w:sz w:val="20"/>
              </w:rPr>
            </w:pPr>
          </w:p>
        </w:tc>
        <w:tc>
          <w:tcPr>
            <w:tcW w:w="4107" w:type="dxa"/>
            <w:tcBorders>
              <w:top w:val="nil"/>
              <w:bottom w:val="nil"/>
            </w:tcBorders>
            <w:vAlign w:val="top"/>
          </w:tcPr>
          <w:p>
            <w:pPr>
              <w:pStyle w:val="7"/>
              <w:rPr>
                <w:rFonts w:ascii="Times New Roman"/>
                <w:sz w:val="20"/>
              </w:rPr>
            </w:pPr>
          </w:p>
        </w:tc>
      </w:tr>
      <w:tr>
        <w:trPr>
          <w:trHeight w:val="1114" w:hRule="atLeast"/>
        </w:trPr>
        <w:tc>
          <w:tcPr>
            <w:tcW w:w="817" w:type="dxa"/>
            <w:tcBorders>
              <w:top w:val="nil"/>
            </w:tcBorders>
            <w:vAlign w:val="top"/>
          </w:tcPr>
          <w:p>
            <w:pPr>
              <w:pStyle w:val="7"/>
              <w:rPr>
                <w:rFonts w:ascii="Times New Roman"/>
                <w:sz w:val="20"/>
              </w:rPr>
            </w:pPr>
          </w:p>
        </w:tc>
        <w:tc>
          <w:tcPr>
            <w:tcW w:w="1843" w:type="dxa"/>
            <w:tcBorders>
              <w:top w:val="nil"/>
            </w:tcBorders>
            <w:vAlign w:val="top"/>
          </w:tcPr>
          <w:p>
            <w:pPr>
              <w:pStyle w:val="7"/>
              <w:rPr>
                <w:rFonts w:ascii="Times New Roman"/>
                <w:sz w:val="20"/>
              </w:rPr>
            </w:pPr>
          </w:p>
        </w:tc>
        <w:tc>
          <w:tcPr>
            <w:tcW w:w="4371" w:type="dxa"/>
            <w:tcBorders>
              <w:top w:val="nil"/>
            </w:tcBorders>
            <w:vAlign w:val="top"/>
          </w:tcPr>
          <w:p>
            <w:pPr>
              <w:pStyle w:val="7"/>
              <w:spacing w:before="160" w:line="278" w:lineRule="auto"/>
              <w:ind w:left="107" w:right="159"/>
              <w:rPr>
                <w:sz w:val="21"/>
              </w:rPr>
            </w:pPr>
            <w:r>
              <w:rPr>
                <w:color w:val="333333"/>
                <w:sz w:val="21"/>
              </w:rPr>
              <w:t>4. 监护人员是否熟悉作业范围内的工艺、设备和物料状态，具备应急救援和处置能</w:t>
            </w:r>
          </w:p>
          <w:p>
            <w:pPr>
              <w:pStyle w:val="7"/>
              <w:spacing w:line="269" w:lineRule="exact"/>
              <w:ind w:left="107"/>
              <w:rPr>
                <w:sz w:val="21"/>
              </w:rPr>
            </w:pPr>
            <w:r>
              <w:rPr>
                <w:color w:val="333333"/>
                <w:sz w:val="21"/>
              </w:rPr>
              <w:t>力。......</w:t>
            </w:r>
          </w:p>
        </w:tc>
        <w:tc>
          <w:tcPr>
            <w:tcW w:w="2606" w:type="dxa"/>
            <w:tcBorders>
              <w:top w:val="nil"/>
            </w:tcBorders>
            <w:vAlign w:val="top"/>
          </w:tcPr>
          <w:p>
            <w:pPr>
              <w:pStyle w:val="7"/>
              <w:rPr>
                <w:rFonts w:ascii="Times New Roman"/>
                <w:sz w:val="20"/>
              </w:rPr>
            </w:pPr>
          </w:p>
        </w:tc>
        <w:tc>
          <w:tcPr>
            <w:tcW w:w="4107" w:type="dxa"/>
            <w:tcBorders>
              <w:top w:val="nil"/>
            </w:tcBorders>
            <w:vAlign w:val="top"/>
          </w:tcPr>
          <w:p>
            <w:pPr>
              <w:pStyle w:val="7"/>
              <w:rPr>
                <w:rFonts w:ascii="Times New Roman"/>
                <w:sz w:val="20"/>
              </w:rPr>
            </w:pPr>
          </w:p>
        </w:tc>
      </w:tr>
    </w:tbl>
    <w:p>
      <w:pPr>
        <w:spacing w:after="0"/>
        <w:rPr>
          <w:rFonts w:ascii="Times New Roman"/>
          <w:sz w:val="20"/>
        </w:rPr>
        <w:sectPr>
          <w:pgSz w:w="16840" w:h="11910" w:orient="landscape"/>
          <w:pgMar w:top="1100" w:right="700" w:bottom="1100" w:left="700" w:header="0" w:footer="907"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W w:w="13744" w:type="dxa"/>
        <w:tblInd w:w="7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1843"/>
        <w:gridCol w:w="4371"/>
        <w:gridCol w:w="2606"/>
        <w:gridCol w:w="4107"/>
      </w:tblGrid>
      <w:tr>
        <w:trPr>
          <w:trHeight w:val="533" w:hRule="atLeast"/>
        </w:trPr>
        <w:tc>
          <w:tcPr>
            <w:tcW w:w="817" w:type="dxa"/>
            <w:vAlign w:val="top"/>
          </w:tcPr>
          <w:p>
            <w:pPr>
              <w:pStyle w:val="7"/>
              <w:spacing w:before="136"/>
              <w:ind w:left="146" w:right="138"/>
              <w:jc w:val="center"/>
              <w:rPr>
                <w:rFonts w:hint="eastAsia" w:ascii="黑体" w:eastAsia="黑体"/>
                <w:sz w:val="24"/>
              </w:rPr>
            </w:pPr>
            <w:r>
              <w:rPr>
                <w:rFonts w:hint="eastAsia" w:ascii="黑体" w:eastAsia="黑体"/>
                <w:sz w:val="24"/>
              </w:rPr>
              <w:t>序号</w:t>
            </w:r>
          </w:p>
        </w:tc>
        <w:tc>
          <w:tcPr>
            <w:tcW w:w="1843" w:type="dxa"/>
            <w:vAlign w:val="top"/>
          </w:tcPr>
          <w:p>
            <w:pPr>
              <w:pStyle w:val="7"/>
              <w:spacing w:before="136"/>
              <w:ind w:left="200"/>
              <w:rPr>
                <w:rFonts w:hint="eastAsia" w:ascii="黑体" w:eastAsia="黑体"/>
                <w:sz w:val="24"/>
              </w:rPr>
            </w:pPr>
            <w:r>
              <w:rPr>
                <w:rFonts w:hint="eastAsia" w:ascii="黑体" w:eastAsia="黑体"/>
                <w:sz w:val="24"/>
              </w:rPr>
              <w:t>违法行为描述</w:t>
            </w:r>
          </w:p>
        </w:tc>
        <w:tc>
          <w:tcPr>
            <w:tcW w:w="4371" w:type="dxa"/>
            <w:vAlign w:val="top"/>
          </w:tcPr>
          <w:p>
            <w:pPr>
              <w:pStyle w:val="7"/>
              <w:spacing w:before="136"/>
              <w:ind w:left="1685" w:right="1675"/>
              <w:jc w:val="center"/>
              <w:rPr>
                <w:rFonts w:hint="eastAsia" w:ascii="黑体" w:eastAsia="黑体"/>
                <w:sz w:val="24"/>
              </w:rPr>
            </w:pPr>
            <w:r>
              <w:rPr>
                <w:rFonts w:hint="eastAsia" w:ascii="黑体" w:eastAsia="黑体"/>
                <w:sz w:val="24"/>
              </w:rPr>
              <w:t>执法依据</w:t>
            </w:r>
          </w:p>
        </w:tc>
        <w:tc>
          <w:tcPr>
            <w:tcW w:w="2606" w:type="dxa"/>
            <w:vAlign w:val="top"/>
          </w:tcPr>
          <w:p>
            <w:pPr>
              <w:pStyle w:val="7"/>
              <w:spacing w:before="136"/>
              <w:ind w:left="821"/>
              <w:rPr>
                <w:rFonts w:hint="eastAsia" w:ascii="黑体" w:eastAsia="黑体"/>
                <w:sz w:val="24"/>
              </w:rPr>
            </w:pPr>
            <w:r>
              <w:rPr>
                <w:rFonts w:hint="eastAsia" w:ascii="黑体" w:eastAsia="黑体"/>
                <w:sz w:val="24"/>
              </w:rPr>
              <w:t>检查方式</w:t>
            </w:r>
          </w:p>
        </w:tc>
        <w:tc>
          <w:tcPr>
            <w:tcW w:w="4107" w:type="dxa"/>
            <w:vAlign w:val="top"/>
          </w:tcPr>
          <w:p>
            <w:pPr>
              <w:pStyle w:val="7"/>
              <w:spacing w:before="136"/>
              <w:ind w:left="70" w:right="61"/>
              <w:jc w:val="center"/>
              <w:rPr>
                <w:rFonts w:hint="eastAsia" w:ascii="黑体" w:eastAsia="黑体"/>
                <w:sz w:val="24"/>
              </w:rPr>
            </w:pPr>
            <w:r>
              <w:rPr>
                <w:rFonts w:hint="eastAsia" w:ascii="黑体" w:eastAsia="黑体"/>
                <w:sz w:val="24"/>
              </w:rPr>
              <w:t>处罚依据</w:t>
            </w:r>
          </w:p>
        </w:tc>
      </w:tr>
      <w:tr>
        <w:trPr>
          <w:trHeight w:val="7384" w:hRule="atLeast"/>
        </w:trPr>
        <w:tc>
          <w:tcPr>
            <w:tcW w:w="817"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28"/>
              <w:ind w:left="7"/>
              <w:jc w:val="center"/>
              <w:rPr>
                <w:sz w:val="21"/>
              </w:rPr>
            </w:pPr>
            <w:r>
              <w:rPr>
                <w:w w:val="99"/>
                <w:sz w:val="21"/>
              </w:rPr>
              <w:t>3</w:t>
            </w:r>
          </w:p>
        </w:tc>
        <w:tc>
          <w:tcPr>
            <w:tcW w:w="1843"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4"/>
              <w:rPr>
                <w:rFonts w:ascii="Times New Roman"/>
                <w:sz w:val="17"/>
              </w:rPr>
            </w:pPr>
          </w:p>
          <w:p>
            <w:pPr>
              <w:pStyle w:val="7"/>
              <w:spacing w:line="285" w:lineRule="auto"/>
              <w:ind w:left="394" w:right="175" w:hanging="209"/>
              <w:rPr>
                <w:sz w:val="21"/>
              </w:rPr>
            </w:pPr>
            <w:r>
              <w:rPr>
                <w:sz w:val="21"/>
              </w:rPr>
              <w:t>未按规定执行变更管理制度</w:t>
            </w:r>
          </w:p>
        </w:tc>
        <w:tc>
          <w:tcPr>
            <w:tcW w:w="4371"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74" w:line="285" w:lineRule="auto"/>
              <w:ind w:left="107" w:right="51"/>
              <w:jc w:val="both"/>
              <w:rPr>
                <w:sz w:val="21"/>
              </w:rPr>
            </w:pPr>
            <w:r>
              <w:rPr>
                <w:color w:val="333333"/>
                <w:spacing w:val="-14"/>
                <w:sz w:val="21"/>
              </w:rPr>
              <w:t>【法规】《安全生产法》第三十六条 生产经营</w:t>
            </w:r>
            <w:r>
              <w:rPr>
                <w:color w:val="333333"/>
                <w:spacing w:val="-11"/>
                <w:sz w:val="21"/>
              </w:rPr>
              <w:t>单位生产、经营、运输、储存、使用危险物品</w:t>
            </w:r>
            <w:r>
              <w:rPr>
                <w:color w:val="333333"/>
                <w:spacing w:val="-11"/>
                <w:w w:val="95"/>
                <w:sz w:val="21"/>
              </w:rPr>
              <w:t xml:space="preserve">或者处置废弃危险物品，必须执行有关法律、 </w:t>
            </w:r>
            <w:r>
              <w:rPr>
                <w:color w:val="333333"/>
                <w:spacing w:val="-14"/>
                <w:sz w:val="21"/>
              </w:rPr>
              <w:t>法规和国家标准或者行业标准，建立专门的安</w:t>
            </w:r>
            <w:r>
              <w:rPr>
                <w:color w:val="333333"/>
                <w:spacing w:val="-11"/>
                <w:sz w:val="21"/>
              </w:rPr>
              <w:t>全管理制度，采取可靠的安全措施，接受有关主管部门依法实施的监督管理。</w:t>
            </w:r>
          </w:p>
          <w:p>
            <w:pPr>
              <w:pStyle w:val="7"/>
              <w:rPr>
                <w:rFonts w:ascii="Times New Roman"/>
                <w:sz w:val="22"/>
              </w:rPr>
            </w:pPr>
          </w:p>
          <w:p>
            <w:pPr>
              <w:pStyle w:val="7"/>
              <w:spacing w:line="278" w:lineRule="auto"/>
              <w:ind w:left="107" w:right="51"/>
              <w:rPr>
                <w:sz w:val="21"/>
              </w:rPr>
            </w:pPr>
            <w:r>
              <w:rPr>
                <w:color w:val="333333"/>
                <w:spacing w:val="-7"/>
                <w:sz w:val="21"/>
              </w:rPr>
              <w:t>【规范性文件】《关于加强化工过程安全管理</w:t>
            </w:r>
            <w:r>
              <w:rPr>
                <w:color w:val="333333"/>
                <w:spacing w:val="-13"/>
                <w:sz w:val="21"/>
              </w:rPr>
              <w:t>的指导意见》</w:t>
            </w:r>
            <w:r>
              <w:rPr>
                <w:color w:val="333333"/>
                <w:sz w:val="21"/>
              </w:rPr>
              <w:t>（</w:t>
            </w:r>
            <w:r>
              <w:rPr>
                <w:color w:val="333333"/>
                <w:spacing w:val="-4"/>
                <w:sz w:val="21"/>
              </w:rPr>
              <w:t>安监总管三〔</w:t>
            </w:r>
            <w:r>
              <w:rPr>
                <w:color w:val="333333"/>
                <w:sz w:val="21"/>
              </w:rPr>
              <w:t>2013</w:t>
            </w:r>
            <w:r>
              <w:rPr>
                <w:color w:val="333333"/>
                <w:spacing w:val="-17"/>
                <w:sz w:val="21"/>
              </w:rPr>
              <w:t>〕</w:t>
            </w:r>
            <w:r>
              <w:rPr>
                <w:color w:val="333333"/>
                <w:sz w:val="21"/>
              </w:rPr>
              <w:t>88</w:t>
            </w:r>
            <w:r>
              <w:rPr>
                <w:color w:val="333333"/>
                <w:spacing w:val="-31"/>
                <w:sz w:val="21"/>
              </w:rPr>
              <w:t xml:space="preserve"> 号</w:t>
            </w:r>
            <w:r>
              <w:rPr>
                <w:color w:val="333333"/>
                <w:spacing w:val="-17"/>
                <w:sz w:val="21"/>
              </w:rPr>
              <w:t>）</w:t>
            </w:r>
            <w:r>
              <w:rPr>
                <w:color w:val="333333"/>
                <w:sz w:val="21"/>
              </w:rPr>
              <w:t>第</w:t>
            </w:r>
            <w:r>
              <w:rPr>
                <w:color w:val="333333"/>
                <w:spacing w:val="-2"/>
                <w:sz w:val="21"/>
              </w:rPr>
              <w:t>二十二条：</w:t>
            </w:r>
            <w:r>
              <w:rPr>
                <w:color w:val="333333"/>
                <w:spacing w:val="-10"/>
                <w:sz w:val="21"/>
              </w:rPr>
              <w:t>（</w:t>
            </w:r>
            <w:r>
              <w:rPr>
                <w:color w:val="333333"/>
                <w:sz w:val="21"/>
              </w:rPr>
              <w:t>二十二</w:t>
            </w:r>
            <w:r>
              <w:rPr>
                <w:color w:val="333333"/>
                <w:spacing w:val="-10"/>
                <w:sz w:val="21"/>
              </w:rPr>
              <w:t>）</w:t>
            </w:r>
            <w:r>
              <w:rPr>
                <w:color w:val="333333"/>
                <w:spacing w:val="-2"/>
                <w:sz w:val="21"/>
              </w:rPr>
              <w:t>建立变更管理制度。企</w:t>
            </w:r>
            <w:r>
              <w:rPr>
                <w:color w:val="333333"/>
                <w:spacing w:val="-8"/>
                <w:sz w:val="21"/>
              </w:rPr>
              <w:t>业在工艺、设备、仪表、电气、公用工程、备</w:t>
            </w:r>
            <w:r>
              <w:rPr>
                <w:color w:val="333333"/>
                <w:spacing w:val="-7"/>
                <w:sz w:val="21"/>
              </w:rPr>
              <w:t>件、材料、化学品、生产组织方式和人员等方</w:t>
            </w:r>
            <w:r>
              <w:rPr>
                <w:color w:val="333333"/>
                <w:spacing w:val="-10"/>
                <w:sz w:val="21"/>
              </w:rPr>
              <w:t>面发生的所有变化，都要纳入变更管理。变更</w:t>
            </w:r>
            <w:r>
              <w:rPr>
                <w:color w:val="333333"/>
                <w:spacing w:val="-10"/>
                <w:w w:val="95"/>
                <w:sz w:val="21"/>
              </w:rPr>
              <w:t xml:space="preserve">管理制度至少包含变更的类型、范围、程序， </w:t>
            </w:r>
            <w:r>
              <w:rPr>
                <w:color w:val="333333"/>
                <w:spacing w:val="-11"/>
                <w:sz w:val="21"/>
              </w:rPr>
              <w:t>明确变更的事项、起始时间、可能带来的安全</w:t>
            </w:r>
            <w:r>
              <w:rPr>
                <w:color w:val="333333"/>
                <w:spacing w:val="-8"/>
                <w:sz w:val="21"/>
              </w:rPr>
              <w:t>风险、消除和控制安全风险的措施、修改操作规程等安全生产信息、开展变更相关的培训 等。</w:t>
            </w:r>
          </w:p>
        </w:tc>
        <w:tc>
          <w:tcPr>
            <w:tcW w:w="2606"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0"/>
              <w:rPr>
                <w:rFonts w:ascii="Times New Roman"/>
                <w:sz w:val="19"/>
              </w:rPr>
            </w:pPr>
          </w:p>
          <w:p>
            <w:pPr>
              <w:pStyle w:val="7"/>
              <w:numPr>
                <w:ilvl w:val="0"/>
                <w:numId w:val="15"/>
              </w:numPr>
              <w:tabs>
                <w:tab w:val="left" w:pos="359"/>
              </w:tabs>
              <w:spacing w:before="0" w:after="0" w:line="285" w:lineRule="auto"/>
              <w:ind w:left="147" w:right="137" w:firstLine="0"/>
              <w:jc w:val="left"/>
              <w:rPr>
                <w:sz w:val="21"/>
              </w:rPr>
            </w:pPr>
            <w:r>
              <w:rPr>
                <w:spacing w:val="-2"/>
                <w:sz w:val="21"/>
              </w:rPr>
              <w:t>查阅资料：查阅企业变更管理制度；变更管理档</w:t>
            </w:r>
            <w:r>
              <w:rPr>
                <w:sz w:val="21"/>
              </w:rPr>
              <w:t>案</w:t>
            </w:r>
          </w:p>
          <w:p>
            <w:pPr>
              <w:pStyle w:val="7"/>
              <w:numPr>
                <w:ilvl w:val="0"/>
                <w:numId w:val="15"/>
              </w:numPr>
              <w:tabs>
                <w:tab w:val="left" w:pos="885"/>
              </w:tabs>
              <w:spacing w:before="0" w:after="0" w:line="269" w:lineRule="exact"/>
              <w:ind w:left="884" w:right="0" w:hanging="878"/>
              <w:jc w:val="left"/>
              <w:rPr>
                <w:sz w:val="21"/>
              </w:rPr>
            </w:pPr>
            <w:r>
              <w:rPr>
                <w:sz w:val="21"/>
              </w:rPr>
              <w:t>现场检查：</w:t>
            </w:r>
          </w:p>
          <w:p>
            <w:pPr>
              <w:pStyle w:val="7"/>
              <w:spacing w:before="51" w:line="285" w:lineRule="auto"/>
              <w:ind w:left="106" w:right="-15" w:firstLine="40"/>
              <w:rPr>
                <w:sz w:val="21"/>
              </w:rPr>
            </w:pPr>
            <w:r>
              <w:rPr>
                <w:sz w:val="21"/>
              </w:rPr>
              <w:t>根据近三个月来企业隐患</w:t>
            </w:r>
            <w:r>
              <w:rPr>
                <w:spacing w:val="-5"/>
                <w:sz w:val="21"/>
              </w:rPr>
              <w:t>整改档案，查阅生产工艺、设备设施、电气仪表等隐患整改过程中的变更行为是否执行变更管理规定。</w:t>
            </w:r>
          </w:p>
        </w:tc>
        <w:tc>
          <w:tcPr>
            <w:tcW w:w="4107" w:type="dxa"/>
            <w:vAlign w:val="top"/>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23"/>
              </w:rPr>
            </w:pPr>
          </w:p>
          <w:p>
            <w:pPr>
              <w:pStyle w:val="7"/>
              <w:spacing w:before="1" w:line="314" w:lineRule="auto"/>
              <w:ind w:left="106" w:right="97" w:firstLine="2"/>
              <w:jc w:val="center"/>
              <w:rPr>
                <w:sz w:val="19"/>
              </w:rPr>
            </w:pPr>
            <w:r>
              <w:rPr>
                <w:spacing w:val="-6"/>
                <w:sz w:val="21"/>
              </w:rPr>
              <w:t>【法规】《安全生产法》</w:t>
            </w:r>
            <w:r>
              <w:rPr>
                <w:color w:val="333333"/>
                <w:spacing w:val="-3"/>
                <w:sz w:val="19"/>
              </w:rPr>
              <w:t>第九十八条 生产经营单位有下列行为之一的，责令限期改正，可</w:t>
            </w:r>
            <w:r>
              <w:rPr>
                <w:color w:val="333333"/>
                <w:spacing w:val="-2"/>
                <w:sz w:val="19"/>
              </w:rPr>
              <w:t>以处十万元以下的罚款;逾期未改正的，责令停产停业整顿，并处十万元以上二十万元以下的罚款，对其直接负责的主管人员和其他直接责任人员处二万元以上五万元以下的罚款;构成犯罪的，依照刑法有关规定追究刑事责任:... (一)生产、经营、运输、储存、使用危险物品或者处置废弃危险物品，未建立专门安全管理制度、未采取可靠的安全措施的;...</w:t>
            </w:r>
          </w:p>
        </w:tc>
      </w:tr>
    </w:tbl>
    <w:p>
      <w:pPr>
        <w:spacing w:after="0" w:line="314" w:lineRule="auto"/>
        <w:jc w:val="center"/>
        <w:rPr>
          <w:sz w:val="19"/>
        </w:rPr>
        <w:sectPr>
          <w:pgSz w:w="16840" w:h="11910" w:orient="landscape"/>
          <w:pgMar w:top="1100" w:right="700" w:bottom="1100" w:left="700" w:header="0" w:footer="907"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W w:w="13744" w:type="dxa"/>
        <w:tblInd w:w="7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1843"/>
        <w:gridCol w:w="4371"/>
        <w:gridCol w:w="2606"/>
        <w:gridCol w:w="4107"/>
      </w:tblGrid>
      <w:tr>
        <w:trPr>
          <w:trHeight w:val="533" w:hRule="atLeast"/>
        </w:trPr>
        <w:tc>
          <w:tcPr>
            <w:tcW w:w="817" w:type="dxa"/>
            <w:vAlign w:val="top"/>
          </w:tcPr>
          <w:p>
            <w:pPr>
              <w:pStyle w:val="7"/>
              <w:spacing w:before="136"/>
              <w:ind w:left="146" w:right="138"/>
              <w:jc w:val="center"/>
              <w:rPr>
                <w:rFonts w:hint="eastAsia" w:ascii="黑体" w:eastAsia="黑体"/>
                <w:sz w:val="24"/>
              </w:rPr>
            </w:pPr>
            <w:r>
              <w:rPr>
                <w:rFonts w:hint="eastAsia" w:ascii="黑体" w:eastAsia="黑体"/>
                <w:sz w:val="24"/>
              </w:rPr>
              <w:t>序号</w:t>
            </w:r>
          </w:p>
        </w:tc>
        <w:tc>
          <w:tcPr>
            <w:tcW w:w="1843" w:type="dxa"/>
            <w:vAlign w:val="top"/>
          </w:tcPr>
          <w:p>
            <w:pPr>
              <w:pStyle w:val="7"/>
              <w:spacing w:before="136"/>
              <w:ind w:left="200"/>
              <w:rPr>
                <w:rFonts w:hint="eastAsia" w:ascii="黑体" w:eastAsia="黑体"/>
                <w:sz w:val="24"/>
              </w:rPr>
            </w:pPr>
            <w:r>
              <w:rPr>
                <w:rFonts w:hint="eastAsia" w:ascii="黑体" w:eastAsia="黑体"/>
                <w:sz w:val="24"/>
              </w:rPr>
              <w:t>违法行为描述</w:t>
            </w:r>
          </w:p>
        </w:tc>
        <w:tc>
          <w:tcPr>
            <w:tcW w:w="4371" w:type="dxa"/>
            <w:vAlign w:val="top"/>
          </w:tcPr>
          <w:p>
            <w:pPr>
              <w:pStyle w:val="7"/>
              <w:spacing w:before="136"/>
              <w:ind w:left="1685" w:right="1675"/>
              <w:jc w:val="center"/>
              <w:rPr>
                <w:rFonts w:hint="eastAsia" w:ascii="黑体" w:eastAsia="黑体"/>
                <w:sz w:val="24"/>
              </w:rPr>
            </w:pPr>
            <w:r>
              <w:rPr>
                <w:rFonts w:hint="eastAsia" w:ascii="黑体" w:eastAsia="黑体"/>
                <w:sz w:val="24"/>
              </w:rPr>
              <w:t>执法依据</w:t>
            </w:r>
          </w:p>
        </w:tc>
        <w:tc>
          <w:tcPr>
            <w:tcW w:w="2606" w:type="dxa"/>
            <w:vAlign w:val="top"/>
          </w:tcPr>
          <w:p>
            <w:pPr>
              <w:pStyle w:val="7"/>
              <w:spacing w:before="136"/>
              <w:ind w:left="821"/>
              <w:rPr>
                <w:rFonts w:hint="eastAsia" w:ascii="黑体" w:eastAsia="黑体"/>
                <w:sz w:val="24"/>
              </w:rPr>
            </w:pPr>
            <w:r>
              <w:rPr>
                <w:rFonts w:hint="eastAsia" w:ascii="黑体" w:eastAsia="黑体"/>
                <w:sz w:val="24"/>
              </w:rPr>
              <w:t>检查方式</w:t>
            </w:r>
          </w:p>
        </w:tc>
        <w:tc>
          <w:tcPr>
            <w:tcW w:w="4107" w:type="dxa"/>
            <w:vAlign w:val="top"/>
          </w:tcPr>
          <w:p>
            <w:pPr>
              <w:pStyle w:val="7"/>
              <w:spacing w:before="136"/>
              <w:ind w:left="70" w:right="61"/>
              <w:jc w:val="center"/>
              <w:rPr>
                <w:rFonts w:hint="eastAsia" w:ascii="黑体" w:eastAsia="黑体"/>
                <w:sz w:val="24"/>
              </w:rPr>
            </w:pPr>
            <w:r>
              <w:rPr>
                <w:rFonts w:hint="eastAsia" w:ascii="黑体" w:eastAsia="黑体"/>
                <w:sz w:val="24"/>
              </w:rPr>
              <w:t>处罚依据</w:t>
            </w:r>
          </w:p>
        </w:tc>
      </w:tr>
      <w:tr>
        <w:trPr>
          <w:trHeight w:val="1858" w:hRule="atLeast"/>
        </w:trPr>
        <w:tc>
          <w:tcPr>
            <w:tcW w:w="817" w:type="dxa"/>
            <w:tcBorders>
              <w:bottom w:val="nil"/>
            </w:tcBorders>
            <w:vAlign w:val="top"/>
          </w:tcPr>
          <w:p>
            <w:pPr>
              <w:pStyle w:val="7"/>
              <w:rPr>
                <w:rFonts w:ascii="Times New Roman"/>
                <w:sz w:val="20"/>
              </w:rPr>
            </w:pPr>
          </w:p>
        </w:tc>
        <w:tc>
          <w:tcPr>
            <w:tcW w:w="1843" w:type="dxa"/>
            <w:tcBorders>
              <w:bottom w:val="nil"/>
            </w:tcBorders>
            <w:vAlign w:val="top"/>
          </w:tcPr>
          <w:p>
            <w:pPr>
              <w:pStyle w:val="7"/>
              <w:rPr>
                <w:rFonts w:ascii="Times New Roman"/>
                <w:sz w:val="20"/>
              </w:rPr>
            </w:pPr>
          </w:p>
        </w:tc>
        <w:tc>
          <w:tcPr>
            <w:tcW w:w="4371" w:type="dxa"/>
            <w:tcBorders>
              <w:bottom w:val="nil"/>
            </w:tcBorders>
            <w:vAlign w:val="top"/>
          </w:tcPr>
          <w:p>
            <w:pPr>
              <w:pStyle w:val="7"/>
              <w:rPr>
                <w:rFonts w:ascii="Times New Roman"/>
                <w:sz w:val="20"/>
              </w:rPr>
            </w:pPr>
          </w:p>
          <w:p>
            <w:pPr>
              <w:pStyle w:val="7"/>
              <w:spacing w:before="9"/>
              <w:rPr>
                <w:rFonts w:ascii="Times New Roman"/>
                <w:sz w:val="16"/>
              </w:rPr>
            </w:pPr>
          </w:p>
          <w:p>
            <w:pPr>
              <w:pStyle w:val="7"/>
              <w:spacing w:line="232" w:lineRule="auto"/>
              <w:ind w:left="107" w:right="97"/>
              <w:rPr>
                <w:sz w:val="21"/>
              </w:rPr>
            </w:pPr>
            <w:r>
              <w:rPr>
                <w:sz w:val="21"/>
              </w:rPr>
              <w:t>【法律】《安全生产法》</w:t>
            </w:r>
            <w:r>
              <w:rPr>
                <w:color w:val="333333"/>
                <w:spacing w:val="-1"/>
                <w:sz w:val="21"/>
              </w:rPr>
              <w:t>第三十七条 生产经</w:t>
            </w:r>
            <w:r>
              <w:rPr>
                <w:color w:val="333333"/>
                <w:spacing w:val="-4"/>
                <w:w w:val="95"/>
                <w:sz w:val="21"/>
              </w:rPr>
              <w:t xml:space="preserve">营单位对重大危险源应当登记建档，进行定期 </w:t>
            </w:r>
            <w:r>
              <w:rPr>
                <w:color w:val="333333"/>
                <w:spacing w:val="-8"/>
                <w:w w:val="95"/>
                <w:sz w:val="21"/>
              </w:rPr>
              <w:t>检测、评估、监控，并制定应急预案，告知从</w:t>
            </w:r>
            <w:r>
              <w:rPr>
                <w:color w:val="333333"/>
                <w:spacing w:val="-8"/>
                <w:sz w:val="21"/>
              </w:rPr>
              <w:t>业人员和相关人员在紧急情况下应当采取的应急措施。</w:t>
            </w:r>
          </w:p>
        </w:tc>
        <w:tc>
          <w:tcPr>
            <w:tcW w:w="2606" w:type="dxa"/>
            <w:tcBorders>
              <w:bottom w:val="nil"/>
            </w:tcBorders>
            <w:vAlign w:val="top"/>
          </w:tcPr>
          <w:p>
            <w:pPr>
              <w:pStyle w:val="7"/>
              <w:rPr>
                <w:rFonts w:ascii="Times New Roman"/>
                <w:sz w:val="20"/>
              </w:rPr>
            </w:pPr>
          </w:p>
        </w:tc>
        <w:tc>
          <w:tcPr>
            <w:tcW w:w="4107" w:type="dxa"/>
            <w:vMerge w:val="restart"/>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0"/>
              <w:rPr>
                <w:rFonts w:ascii="Times New Roman"/>
                <w:sz w:val="18"/>
              </w:rPr>
            </w:pPr>
          </w:p>
          <w:p>
            <w:pPr>
              <w:pStyle w:val="7"/>
              <w:spacing w:line="285" w:lineRule="auto"/>
              <w:ind w:left="106" w:right="1" w:hanging="99"/>
              <w:jc w:val="center"/>
              <w:rPr>
                <w:sz w:val="21"/>
              </w:rPr>
            </w:pPr>
            <w:r>
              <w:rPr>
                <w:spacing w:val="-4"/>
                <w:sz w:val="21"/>
              </w:rPr>
              <w:t xml:space="preserve">【法律】《安全生产法》第一百条 生产经 </w:t>
            </w:r>
            <w:r>
              <w:rPr>
                <w:spacing w:val="-12"/>
                <w:sz w:val="21"/>
              </w:rPr>
              <w:t>营单位未与承包单位、承租单位签订专门的</w:t>
            </w:r>
            <w:r>
              <w:rPr>
                <w:spacing w:val="-17"/>
                <w:sz w:val="21"/>
              </w:rPr>
              <w:t>安全生产管理协议或者未在承包合同、租赁</w:t>
            </w:r>
            <w:r>
              <w:rPr>
                <w:spacing w:val="-20"/>
                <w:sz w:val="21"/>
              </w:rPr>
              <w:t>合同中明确各自的安全生产管理职责，或者</w:t>
            </w:r>
            <w:r>
              <w:rPr>
                <w:spacing w:val="-16"/>
                <w:sz w:val="21"/>
              </w:rPr>
              <w:t>未对承包单位、承租单位的安全生产统一协</w:t>
            </w:r>
            <w:r>
              <w:rPr>
                <w:spacing w:val="-12"/>
                <w:sz w:val="21"/>
              </w:rPr>
              <w:t>调、管理的，责令限期改正，可以处五万元</w:t>
            </w:r>
            <w:r>
              <w:rPr>
                <w:spacing w:val="-14"/>
                <w:sz w:val="21"/>
              </w:rPr>
              <w:t>以下的罚款，对其直接负责的主管人员和其</w:t>
            </w:r>
            <w:r>
              <w:rPr>
                <w:spacing w:val="-14"/>
                <w:w w:val="95"/>
                <w:sz w:val="21"/>
              </w:rPr>
              <w:t xml:space="preserve">他直接责任人员可以处一万元以下的罚款；  </w:t>
            </w:r>
            <w:r>
              <w:rPr>
                <w:sz w:val="21"/>
              </w:rPr>
              <w:t>逾期未改正的，责令停产停业整顿。</w:t>
            </w:r>
          </w:p>
        </w:tc>
      </w:tr>
      <w:tr>
        <w:trPr>
          <w:trHeight w:val="5490" w:hRule="atLeast"/>
        </w:trPr>
        <w:tc>
          <w:tcPr>
            <w:tcW w:w="817" w:type="dxa"/>
            <w:tcBorders>
              <w:top w:val="nil"/>
            </w:tcBorders>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6"/>
              <w:rPr>
                <w:rFonts w:ascii="Times New Roman"/>
                <w:sz w:val="27"/>
              </w:rPr>
            </w:pPr>
          </w:p>
          <w:p>
            <w:pPr>
              <w:pStyle w:val="7"/>
              <w:spacing w:before="1"/>
              <w:ind w:left="7"/>
              <w:jc w:val="center"/>
              <w:rPr>
                <w:sz w:val="21"/>
              </w:rPr>
            </w:pPr>
            <w:r>
              <w:rPr>
                <w:w w:val="99"/>
                <w:sz w:val="21"/>
              </w:rPr>
              <w:t>4</w:t>
            </w:r>
          </w:p>
        </w:tc>
        <w:tc>
          <w:tcPr>
            <w:tcW w:w="1843" w:type="dxa"/>
            <w:tcBorders>
              <w:top w:val="nil"/>
            </w:tcBorders>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9"/>
              <w:rPr>
                <w:rFonts w:ascii="Times New Roman"/>
                <w:sz w:val="19"/>
              </w:rPr>
            </w:pPr>
          </w:p>
          <w:p>
            <w:pPr>
              <w:pStyle w:val="7"/>
              <w:spacing w:line="285" w:lineRule="auto"/>
              <w:ind w:left="186" w:right="175"/>
              <w:jc w:val="center"/>
              <w:rPr>
                <w:sz w:val="21"/>
              </w:rPr>
            </w:pPr>
            <w:r>
              <w:rPr>
                <w:sz w:val="21"/>
              </w:rPr>
              <w:t>未按规定对重大危险源进行监测监控</w:t>
            </w:r>
          </w:p>
        </w:tc>
        <w:tc>
          <w:tcPr>
            <w:tcW w:w="4371" w:type="dxa"/>
            <w:tcBorders>
              <w:top w:val="nil"/>
            </w:tcBorders>
            <w:vAlign w:val="top"/>
          </w:tcPr>
          <w:p>
            <w:pPr>
              <w:pStyle w:val="7"/>
              <w:spacing w:before="136" w:line="232" w:lineRule="auto"/>
              <w:ind w:left="107" w:right="97"/>
              <w:rPr>
                <w:sz w:val="21"/>
              </w:rPr>
            </w:pPr>
            <w:r>
              <w:rPr>
                <w:spacing w:val="-7"/>
                <w:w w:val="95"/>
                <w:sz w:val="21"/>
              </w:rPr>
              <w:t xml:space="preserve">【规章】《危险化学品重大危险源监督管理暂 </w:t>
            </w:r>
            <w:r>
              <w:rPr>
                <w:spacing w:val="-7"/>
                <w:sz w:val="21"/>
              </w:rPr>
              <w:t>行规定》（</w:t>
            </w:r>
            <w:r>
              <w:rPr>
                <w:spacing w:val="-12"/>
                <w:sz w:val="21"/>
              </w:rPr>
              <w:t xml:space="preserve">原国家安监总局令第 </w:t>
            </w:r>
            <w:r>
              <w:rPr>
                <w:sz w:val="21"/>
              </w:rPr>
              <w:t>40</w:t>
            </w:r>
            <w:r>
              <w:rPr>
                <w:spacing w:val="-29"/>
                <w:sz w:val="21"/>
              </w:rPr>
              <w:t xml:space="preserve"> 号</w:t>
            </w:r>
            <w:r>
              <w:rPr>
                <w:sz w:val="21"/>
              </w:rPr>
              <w:t>）第十</w:t>
            </w:r>
            <w:r>
              <w:rPr>
                <w:spacing w:val="-2"/>
                <w:sz w:val="21"/>
              </w:rPr>
              <w:t xml:space="preserve">三条 </w:t>
            </w:r>
            <w:r>
              <w:rPr>
                <w:sz w:val="21"/>
              </w:rPr>
              <w:t>（一）重大危险源配备温度、压力、液</w:t>
            </w:r>
            <w:r>
              <w:rPr>
                <w:spacing w:val="-7"/>
                <w:w w:val="95"/>
                <w:sz w:val="21"/>
              </w:rPr>
              <w:t xml:space="preserve">位、流量、组份等信息的不间断采集和监测系 </w:t>
            </w:r>
            <w:r>
              <w:rPr>
                <w:spacing w:val="-7"/>
                <w:sz w:val="21"/>
              </w:rPr>
              <w:t>统以及可燃气体和有毒有害气体泄漏检测报</w:t>
            </w:r>
            <w:r>
              <w:rPr>
                <w:spacing w:val="-8"/>
                <w:w w:val="95"/>
                <w:sz w:val="21"/>
              </w:rPr>
              <w:t xml:space="preserve">警装置，并具备信息远传、连续记录、事故预 警、信息存储等功能；一级或者二级重大危险 源，具备紧急停车功能。记录的电子数据的保 </w:t>
            </w:r>
            <w:r>
              <w:rPr>
                <w:spacing w:val="-15"/>
                <w:sz w:val="21"/>
              </w:rPr>
              <w:t xml:space="preserve">存时间不少于 </w:t>
            </w:r>
            <w:r>
              <w:rPr>
                <w:sz w:val="21"/>
              </w:rPr>
              <w:t>30</w:t>
            </w:r>
            <w:r>
              <w:rPr>
                <w:spacing w:val="-20"/>
                <w:sz w:val="21"/>
              </w:rPr>
              <w:t xml:space="preserve"> 天；</w:t>
            </w:r>
            <w:r>
              <w:rPr>
                <w:sz w:val="21"/>
              </w:rPr>
              <w:t>（二）重大危险源的化工生产装置装备满足安全生产要求的自动化</w:t>
            </w:r>
            <w:r>
              <w:rPr>
                <w:spacing w:val="-6"/>
                <w:w w:val="95"/>
                <w:sz w:val="21"/>
              </w:rPr>
              <w:t xml:space="preserve">控制系统；一级或者二级重大危险源，装备紧 </w:t>
            </w:r>
            <w:r>
              <w:rPr>
                <w:spacing w:val="-8"/>
                <w:w w:val="95"/>
                <w:sz w:val="21"/>
              </w:rPr>
              <w:t>急停车系统；</w:t>
            </w:r>
            <w:r>
              <w:rPr>
                <w:spacing w:val="-15"/>
                <w:w w:val="95"/>
                <w:sz w:val="21"/>
              </w:rPr>
              <w:t>（</w:t>
            </w:r>
            <w:r>
              <w:rPr>
                <w:w w:val="95"/>
                <w:sz w:val="21"/>
              </w:rPr>
              <w:t>三</w:t>
            </w:r>
            <w:r>
              <w:rPr>
                <w:spacing w:val="-15"/>
                <w:w w:val="95"/>
                <w:sz w:val="21"/>
              </w:rPr>
              <w:t>）</w:t>
            </w:r>
            <w:r>
              <w:rPr>
                <w:w w:val="95"/>
                <w:sz w:val="21"/>
              </w:rPr>
              <w:t xml:space="preserve">对重大危险源中的毒性气 </w:t>
            </w:r>
            <w:r>
              <w:rPr>
                <w:spacing w:val="-6"/>
                <w:w w:val="95"/>
                <w:sz w:val="21"/>
              </w:rPr>
              <w:t xml:space="preserve">体、剧毒液体和易燃气体等重点设施，设置紧 </w:t>
            </w:r>
            <w:r>
              <w:rPr>
                <w:spacing w:val="-9"/>
                <w:w w:val="95"/>
                <w:sz w:val="21"/>
              </w:rPr>
              <w:t xml:space="preserve">急切断装置；毒性气体的设施，设置泄漏物紧 </w:t>
            </w:r>
            <w:r>
              <w:rPr>
                <w:spacing w:val="-10"/>
                <w:w w:val="95"/>
                <w:sz w:val="21"/>
              </w:rPr>
              <w:t xml:space="preserve">急处置装置。涉及毒性气体、液化气体、剧毒 </w:t>
            </w:r>
            <w:r>
              <w:rPr>
                <w:spacing w:val="-13"/>
                <w:w w:val="95"/>
                <w:sz w:val="21"/>
              </w:rPr>
              <w:t xml:space="preserve">液体的一级或者二级重大危险源，配备独立的 </w:t>
            </w:r>
            <w:r>
              <w:rPr>
                <w:spacing w:val="-13"/>
                <w:sz w:val="21"/>
              </w:rPr>
              <w:t>安全仪表系统（SIS）；（四）重大危险源中</w:t>
            </w:r>
            <w:r>
              <w:rPr>
                <w:spacing w:val="-15"/>
                <w:w w:val="95"/>
                <w:sz w:val="21"/>
              </w:rPr>
              <w:t xml:space="preserve">储存剧毒物质的场所或者设施，设置视频监控 </w:t>
            </w:r>
            <w:r>
              <w:rPr>
                <w:spacing w:val="-15"/>
                <w:sz w:val="21"/>
              </w:rPr>
              <w:t>系统；</w:t>
            </w:r>
          </w:p>
        </w:tc>
        <w:tc>
          <w:tcPr>
            <w:tcW w:w="2606" w:type="dxa"/>
            <w:tcBorders>
              <w:top w:val="nil"/>
            </w:tcBorders>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
              <w:rPr>
                <w:rFonts w:ascii="Times New Roman"/>
                <w:sz w:val="18"/>
              </w:rPr>
            </w:pPr>
          </w:p>
          <w:p>
            <w:pPr>
              <w:pStyle w:val="7"/>
              <w:spacing w:line="285" w:lineRule="auto"/>
              <w:ind w:left="147" w:right="137"/>
              <w:jc w:val="center"/>
              <w:rPr>
                <w:sz w:val="21"/>
              </w:rPr>
            </w:pPr>
            <w:r>
              <w:rPr>
                <w:sz w:val="21"/>
              </w:rPr>
              <w:t>查阅资料：查阅重大危险源档案。</w:t>
            </w:r>
          </w:p>
          <w:p>
            <w:pPr>
              <w:pStyle w:val="7"/>
              <w:spacing w:line="285" w:lineRule="auto"/>
              <w:ind w:left="147" w:right="137"/>
              <w:jc w:val="center"/>
              <w:rPr>
                <w:sz w:val="21"/>
              </w:rPr>
            </w:pPr>
            <w:r>
              <w:rPr>
                <w:sz w:val="21"/>
              </w:rPr>
              <w:t>现场检查：检查企业中控室，重大危险源监控措施是否符合要求。</w:t>
            </w:r>
          </w:p>
        </w:tc>
        <w:tc>
          <w:tcPr>
            <w:tcW w:w="4107" w:type="dxa"/>
            <w:vMerge w:val="continue"/>
            <w:tcBorders>
              <w:top w:val="nil"/>
            </w:tcBorders>
            <w:vAlign w:val="top"/>
          </w:tcPr>
          <w:p>
            <w:pPr>
              <w:rPr>
                <w:sz w:val="2"/>
                <w:szCs w:val="2"/>
              </w:rPr>
            </w:pPr>
          </w:p>
        </w:tc>
      </w:tr>
    </w:tbl>
    <w:p>
      <w:pPr>
        <w:spacing w:after="0"/>
        <w:rPr>
          <w:sz w:val="2"/>
          <w:szCs w:val="2"/>
        </w:rPr>
        <w:sectPr>
          <w:pgSz w:w="16840" w:h="11910" w:orient="landscape"/>
          <w:pgMar w:top="1100" w:right="700" w:bottom="1100" w:left="700" w:header="0" w:footer="907"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W w:w="13744" w:type="dxa"/>
        <w:tblInd w:w="7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1843"/>
        <w:gridCol w:w="4371"/>
        <w:gridCol w:w="2606"/>
        <w:gridCol w:w="4107"/>
      </w:tblGrid>
      <w:tr>
        <w:trPr>
          <w:trHeight w:val="533" w:hRule="atLeast"/>
        </w:trPr>
        <w:tc>
          <w:tcPr>
            <w:tcW w:w="817" w:type="dxa"/>
            <w:vAlign w:val="top"/>
          </w:tcPr>
          <w:p>
            <w:pPr>
              <w:pStyle w:val="7"/>
              <w:spacing w:before="136"/>
              <w:ind w:left="146" w:right="138"/>
              <w:jc w:val="center"/>
              <w:rPr>
                <w:rFonts w:hint="eastAsia" w:ascii="黑体" w:eastAsia="黑体"/>
                <w:sz w:val="24"/>
              </w:rPr>
            </w:pPr>
            <w:r>
              <w:rPr>
                <w:rFonts w:hint="eastAsia" w:ascii="黑体" w:eastAsia="黑体"/>
                <w:sz w:val="24"/>
              </w:rPr>
              <w:t>序号</w:t>
            </w:r>
          </w:p>
        </w:tc>
        <w:tc>
          <w:tcPr>
            <w:tcW w:w="1843" w:type="dxa"/>
            <w:vAlign w:val="top"/>
          </w:tcPr>
          <w:p>
            <w:pPr>
              <w:pStyle w:val="7"/>
              <w:spacing w:before="136"/>
              <w:ind w:left="200"/>
              <w:rPr>
                <w:rFonts w:hint="eastAsia" w:ascii="黑体" w:eastAsia="黑体"/>
                <w:sz w:val="24"/>
              </w:rPr>
            </w:pPr>
            <w:r>
              <w:rPr>
                <w:rFonts w:hint="eastAsia" w:ascii="黑体" w:eastAsia="黑体"/>
                <w:sz w:val="24"/>
              </w:rPr>
              <w:t>违法行为描述</w:t>
            </w:r>
          </w:p>
        </w:tc>
        <w:tc>
          <w:tcPr>
            <w:tcW w:w="4371" w:type="dxa"/>
            <w:vAlign w:val="top"/>
          </w:tcPr>
          <w:p>
            <w:pPr>
              <w:pStyle w:val="7"/>
              <w:spacing w:before="136"/>
              <w:ind w:left="1685" w:right="1675"/>
              <w:jc w:val="center"/>
              <w:rPr>
                <w:rFonts w:hint="eastAsia" w:ascii="黑体" w:eastAsia="黑体"/>
                <w:sz w:val="24"/>
              </w:rPr>
            </w:pPr>
            <w:r>
              <w:rPr>
                <w:rFonts w:hint="eastAsia" w:ascii="黑体" w:eastAsia="黑体"/>
                <w:sz w:val="24"/>
              </w:rPr>
              <w:t>执法依据</w:t>
            </w:r>
          </w:p>
        </w:tc>
        <w:tc>
          <w:tcPr>
            <w:tcW w:w="2606" w:type="dxa"/>
            <w:vAlign w:val="top"/>
          </w:tcPr>
          <w:p>
            <w:pPr>
              <w:pStyle w:val="7"/>
              <w:spacing w:before="136"/>
              <w:ind w:left="821"/>
              <w:rPr>
                <w:rFonts w:hint="eastAsia" w:ascii="黑体" w:eastAsia="黑体"/>
                <w:sz w:val="24"/>
              </w:rPr>
            </w:pPr>
            <w:r>
              <w:rPr>
                <w:rFonts w:hint="eastAsia" w:ascii="黑体" w:eastAsia="黑体"/>
                <w:sz w:val="24"/>
              </w:rPr>
              <w:t>检查方式</w:t>
            </w:r>
          </w:p>
        </w:tc>
        <w:tc>
          <w:tcPr>
            <w:tcW w:w="4107" w:type="dxa"/>
            <w:vAlign w:val="top"/>
          </w:tcPr>
          <w:p>
            <w:pPr>
              <w:pStyle w:val="7"/>
              <w:spacing w:before="136"/>
              <w:ind w:left="70" w:right="61"/>
              <w:jc w:val="center"/>
              <w:rPr>
                <w:rFonts w:hint="eastAsia" w:ascii="黑体" w:eastAsia="黑体"/>
                <w:sz w:val="24"/>
              </w:rPr>
            </w:pPr>
            <w:r>
              <w:rPr>
                <w:rFonts w:hint="eastAsia" w:ascii="黑体" w:eastAsia="黑体"/>
                <w:sz w:val="24"/>
              </w:rPr>
              <w:t>处罚依据</w:t>
            </w:r>
          </w:p>
        </w:tc>
      </w:tr>
      <w:tr>
        <w:trPr>
          <w:trHeight w:val="7359" w:hRule="atLeast"/>
        </w:trPr>
        <w:tc>
          <w:tcPr>
            <w:tcW w:w="817"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16"/>
              <w:ind w:left="7"/>
              <w:jc w:val="center"/>
              <w:rPr>
                <w:sz w:val="21"/>
              </w:rPr>
            </w:pPr>
            <w:r>
              <w:rPr>
                <w:w w:val="99"/>
                <w:sz w:val="21"/>
              </w:rPr>
              <w:t>5</w:t>
            </w:r>
          </w:p>
        </w:tc>
        <w:tc>
          <w:tcPr>
            <w:tcW w:w="1843"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4"/>
              <w:rPr>
                <w:rFonts w:ascii="Times New Roman"/>
                <w:sz w:val="22"/>
              </w:rPr>
            </w:pPr>
          </w:p>
          <w:p>
            <w:pPr>
              <w:pStyle w:val="7"/>
              <w:spacing w:line="285" w:lineRule="auto"/>
              <w:ind w:left="186" w:right="175"/>
              <w:jc w:val="both"/>
              <w:rPr>
                <w:sz w:val="21"/>
              </w:rPr>
            </w:pPr>
            <w:r>
              <w:rPr>
                <w:sz w:val="21"/>
              </w:rPr>
              <w:t>未按规定安装使用可燃有毒气体监测报警装置</w:t>
            </w:r>
          </w:p>
        </w:tc>
        <w:tc>
          <w:tcPr>
            <w:tcW w:w="4371" w:type="dxa"/>
            <w:vAlign w:val="top"/>
          </w:tcPr>
          <w:p>
            <w:pPr>
              <w:pStyle w:val="7"/>
              <w:spacing w:before="2"/>
              <w:rPr>
                <w:rFonts w:ascii="Times New Roman"/>
                <w:sz w:val="25"/>
              </w:rPr>
            </w:pPr>
          </w:p>
          <w:p>
            <w:pPr>
              <w:pStyle w:val="7"/>
              <w:spacing w:line="266" w:lineRule="auto"/>
              <w:ind w:left="107" w:right="51"/>
              <w:rPr>
                <w:sz w:val="21"/>
              </w:rPr>
            </w:pPr>
            <w:r>
              <w:rPr>
                <w:sz w:val="21"/>
              </w:rPr>
              <w:t>【法律】《安全生产法》</w:t>
            </w:r>
            <w:r>
              <w:rPr>
                <w:color w:val="333333"/>
                <w:spacing w:val="-1"/>
                <w:sz w:val="21"/>
              </w:rPr>
              <w:t>第三十三条 安全设</w:t>
            </w:r>
            <w:r>
              <w:rPr>
                <w:color w:val="333333"/>
                <w:spacing w:val="-1"/>
                <w:w w:val="95"/>
                <w:sz w:val="21"/>
              </w:rPr>
              <w:t xml:space="preserve">备的设计、制造、安装、使用、检测、维修、 </w:t>
            </w:r>
            <w:r>
              <w:rPr>
                <w:color w:val="333333"/>
                <w:spacing w:val="-1"/>
                <w:sz w:val="21"/>
              </w:rPr>
              <w:t>改造和报废，应当符合国家标准或者行业标 准。</w:t>
            </w:r>
          </w:p>
          <w:p>
            <w:pPr>
              <w:pStyle w:val="7"/>
              <w:spacing w:before="6" w:line="266" w:lineRule="auto"/>
              <w:ind w:left="107" w:right="-15"/>
              <w:rPr>
                <w:sz w:val="21"/>
              </w:rPr>
            </w:pPr>
            <w:r>
              <w:rPr>
                <w:color w:val="333333"/>
                <w:sz w:val="21"/>
              </w:rPr>
              <w:t xml:space="preserve">生产经营单位必须对安全设备进行经常性维 </w:t>
            </w:r>
            <w:r>
              <w:rPr>
                <w:color w:val="333333"/>
                <w:spacing w:val="-14"/>
                <w:sz w:val="21"/>
              </w:rPr>
              <w:t>护、保养，并定期检测，保证正常运转。维护、</w:t>
            </w:r>
            <w:r>
              <w:rPr>
                <w:color w:val="333333"/>
                <w:spacing w:val="-15"/>
                <w:sz w:val="21"/>
              </w:rPr>
              <w:t>保养、检测应当作好记录，并由有关人员签字。</w:t>
            </w:r>
          </w:p>
          <w:p>
            <w:pPr>
              <w:pStyle w:val="7"/>
              <w:spacing w:before="4" w:line="266" w:lineRule="auto"/>
              <w:ind w:left="107" w:right="97"/>
              <w:rPr>
                <w:sz w:val="21"/>
              </w:rPr>
            </w:pPr>
            <w:r>
              <w:rPr>
                <w:spacing w:val="-7"/>
                <w:w w:val="95"/>
                <w:sz w:val="21"/>
              </w:rPr>
              <w:t xml:space="preserve">【标准】《石油化工可燃气体和有毒气体检测 </w:t>
            </w:r>
            <w:r>
              <w:rPr>
                <w:spacing w:val="-7"/>
                <w:sz w:val="21"/>
              </w:rPr>
              <w:t xml:space="preserve">报警设计标准》（GB/T </w:t>
            </w:r>
            <w:r>
              <w:rPr>
                <w:sz w:val="21"/>
              </w:rPr>
              <w:t>50493-2019）...</w:t>
            </w:r>
          </w:p>
          <w:p>
            <w:pPr>
              <w:pStyle w:val="7"/>
              <w:spacing w:before="7"/>
              <w:rPr>
                <w:rFonts w:ascii="Times New Roman"/>
                <w:sz w:val="24"/>
              </w:rPr>
            </w:pPr>
          </w:p>
          <w:p>
            <w:pPr>
              <w:pStyle w:val="7"/>
              <w:numPr>
                <w:ilvl w:val="0"/>
                <w:numId w:val="16"/>
              </w:numPr>
              <w:tabs>
                <w:tab w:val="left" w:pos="319"/>
              </w:tabs>
              <w:spacing w:before="0" w:after="0" w:line="266" w:lineRule="auto"/>
              <w:ind w:left="107" w:right="97" w:firstLine="0"/>
              <w:jc w:val="left"/>
              <w:rPr>
                <w:sz w:val="21"/>
              </w:rPr>
            </w:pPr>
            <w:r>
              <w:rPr>
                <w:sz w:val="21"/>
              </w:rPr>
              <w:t>涉及可燃和有毒有害气体泄漏的场所应按</w:t>
            </w:r>
            <w:r>
              <w:rPr>
                <w:spacing w:val="-4"/>
                <w:w w:val="95"/>
                <w:sz w:val="21"/>
              </w:rPr>
              <w:t xml:space="preserve">国家标准设置检测报警装置，具有就地声光报 </w:t>
            </w:r>
            <w:r>
              <w:rPr>
                <w:spacing w:val="-8"/>
                <w:w w:val="95"/>
                <w:sz w:val="21"/>
              </w:rPr>
              <w:t xml:space="preserve">警功能，检测报警信号发送至有操作人员常驻 </w:t>
            </w:r>
            <w:r>
              <w:rPr>
                <w:spacing w:val="-8"/>
                <w:sz w:val="21"/>
              </w:rPr>
              <w:t>的控制室、现场操作室。</w:t>
            </w:r>
          </w:p>
          <w:p>
            <w:pPr>
              <w:pStyle w:val="7"/>
              <w:spacing w:before="8"/>
              <w:rPr>
                <w:rFonts w:ascii="Times New Roman"/>
                <w:sz w:val="24"/>
              </w:rPr>
            </w:pPr>
          </w:p>
          <w:p>
            <w:pPr>
              <w:pStyle w:val="7"/>
              <w:numPr>
                <w:ilvl w:val="0"/>
                <w:numId w:val="16"/>
              </w:numPr>
              <w:tabs>
                <w:tab w:val="left" w:pos="422"/>
              </w:tabs>
              <w:spacing w:before="0" w:after="0" w:line="266" w:lineRule="auto"/>
              <w:ind w:left="107" w:right="159" w:firstLine="0"/>
              <w:jc w:val="left"/>
              <w:rPr>
                <w:sz w:val="21"/>
              </w:rPr>
            </w:pPr>
            <w:r>
              <w:rPr>
                <w:w w:val="95"/>
                <w:sz w:val="21"/>
              </w:rPr>
              <w:t>可燃和有毒有害气体泄漏检测报警仪报警</w:t>
            </w:r>
            <w:r>
              <w:rPr>
                <w:sz w:val="21"/>
              </w:rPr>
              <w:t>装置应当定期校验。</w:t>
            </w:r>
          </w:p>
          <w:p>
            <w:pPr>
              <w:pStyle w:val="7"/>
              <w:spacing w:before="7"/>
              <w:rPr>
                <w:rFonts w:ascii="Times New Roman"/>
                <w:sz w:val="24"/>
              </w:rPr>
            </w:pPr>
          </w:p>
          <w:p>
            <w:pPr>
              <w:pStyle w:val="7"/>
              <w:spacing w:before="1" w:line="266" w:lineRule="auto"/>
              <w:ind w:left="107" w:right="51"/>
              <w:jc w:val="both"/>
              <w:rPr>
                <w:sz w:val="21"/>
              </w:rPr>
            </w:pPr>
            <w:r>
              <w:rPr>
                <w:spacing w:val="-7"/>
                <w:sz w:val="21"/>
              </w:rPr>
              <w:t>【规范性文件】《关于加强化工过程安全管理</w:t>
            </w:r>
            <w:r>
              <w:rPr>
                <w:spacing w:val="-13"/>
                <w:sz w:val="21"/>
              </w:rPr>
              <w:t>的指导意见》</w:t>
            </w:r>
            <w:r>
              <w:rPr>
                <w:sz w:val="21"/>
              </w:rPr>
              <w:t>（</w:t>
            </w:r>
            <w:r>
              <w:rPr>
                <w:spacing w:val="-4"/>
                <w:sz w:val="21"/>
              </w:rPr>
              <w:t>安监总管三〔</w:t>
            </w:r>
            <w:r>
              <w:rPr>
                <w:sz w:val="21"/>
              </w:rPr>
              <w:t>2013</w:t>
            </w:r>
            <w:r>
              <w:rPr>
                <w:spacing w:val="-17"/>
                <w:sz w:val="21"/>
              </w:rPr>
              <w:t>〕</w:t>
            </w:r>
            <w:r>
              <w:rPr>
                <w:sz w:val="21"/>
              </w:rPr>
              <w:t>88</w:t>
            </w:r>
            <w:r>
              <w:rPr>
                <w:spacing w:val="-31"/>
                <w:sz w:val="21"/>
              </w:rPr>
              <w:t xml:space="preserve"> 号</w:t>
            </w:r>
            <w:r>
              <w:rPr>
                <w:spacing w:val="-17"/>
                <w:sz w:val="21"/>
              </w:rPr>
              <w:t>）</w:t>
            </w:r>
            <w:r>
              <w:rPr>
                <w:sz w:val="21"/>
              </w:rPr>
              <w:t>第</w:t>
            </w:r>
            <w:r>
              <w:rPr>
                <w:w w:val="95"/>
                <w:sz w:val="21"/>
              </w:rPr>
              <w:t>十六条：</w:t>
            </w:r>
            <w:r>
              <w:rPr>
                <w:color w:val="333333"/>
                <w:w w:val="95"/>
                <w:sz w:val="21"/>
              </w:rPr>
              <w:t xml:space="preserve">建立装置泄漏监（检）测管理制度。 </w:t>
            </w:r>
            <w:r>
              <w:rPr>
                <w:color w:val="333333"/>
                <w:spacing w:val="-5"/>
                <w:sz w:val="21"/>
              </w:rPr>
              <w:t>定期监</w:t>
            </w:r>
            <w:r>
              <w:rPr>
                <w:color w:val="333333"/>
                <w:sz w:val="21"/>
              </w:rPr>
              <w:t>（检</w:t>
            </w:r>
            <w:r>
              <w:rPr>
                <w:color w:val="333333"/>
                <w:spacing w:val="-13"/>
                <w:sz w:val="21"/>
              </w:rPr>
              <w:t>）</w:t>
            </w:r>
            <w:r>
              <w:rPr>
                <w:color w:val="333333"/>
                <w:spacing w:val="-2"/>
                <w:sz w:val="21"/>
              </w:rPr>
              <w:t>测生产装置动静密封点，发现问题及时处理。</w:t>
            </w:r>
          </w:p>
        </w:tc>
        <w:tc>
          <w:tcPr>
            <w:tcW w:w="2606"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0"/>
              <w:rPr>
                <w:rFonts w:ascii="Times New Roman"/>
                <w:sz w:val="24"/>
              </w:rPr>
            </w:pPr>
          </w:p>
          <w:p>
            <w:pPr>
              <w:pStyle w:val="7"/>
              <w:spacing w:line="285" w:lineRule="auto"/>
              <w:ind w:left="147" w:right="137"/>
              <w:jc w:val="center"/>
              <w:rPr>
                <w:sz w:val="21"/>
              </w:rPr>
            </w:pPr>
            <w:r>
              <w:rPr>
                <w:spacing w:val="-1"/>
                <w:sz w:val="21"/>
              </w:rPr>
              <w:t>查阅资料：可燃有毒气体</w:t>
            </w:r>
            <w:r>
              <w:rPr>
                <w:spacing w:val="-2"/>
                <w:sz w:val="21"/>
              </w:rPr>
              <w:t>监测报警装置台账和检测报告、抽查最近一个月所有的报警记录，是否有原</w:t>
            </w:r>
            <w:r>
              <w:rPr>
                <w:sz w:val="21"/>
              </w:rPr>
              <w:t xml:space="preserve">因分析并有处置结果。 </w:t>
            </w:r>
            <w:r>
              <w:rPr>
                <w:spacing w:val="-2"/>
                <w:sz w:val="21"/>
              </w:rPr>
              <w:t>现场检查：检查火灾和爆炸危险场所可燃有毒气体监测报警装置是否符合要</w:t>
            </w:r>
            <w:r>
              <w:rPr>
                <w:sz w:val="21"/>
              </w:rPr>
              <w:t>求。</w:t>
            </w:r>
          </w:p>
        </w:tc>
        <w:tc>
          <w:tcPr>
            <w:tcW w:w="4107"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
              <w:rPr>
                <w:rFonts w:ascii="Times New Roman"/>
                <w:sz w:val="26"/>
              </w:rPr>
            </w:pPr>
          </w:p>
          <w:p>
            <w:pPr>
              <w:pStyle w:val="7"/>
              <w:spacing w:line="266" w:lineRule="auto"/>
              <w:ind w:left="106" w:right="97"/>
              <w:jc w:val="center"/>
              <w:rPr>
                <w:sz w:val="21"/>
              </w:rPr>
            </w:pPr>
            <w:r>
              <w:rPr>
                <w:spacing w:val="-1"/>
                <w:sz w:val="21"/>
              </w:rPr>
              <w:t>【法律】《安全生产法》第九十六条 生产经营单位有下列行为之一的，责令限期改</w:t>
            </w:r>
            <w:r>
              <w:rPr>
                <w:spacing w:val="-1"/>
                <w:w w:val="95"/>
                <w:sz w:val="21"/>
              </w:rPr>
              <w:t xml:space="preserve">正，可以处五万元以下的罚款;逾期未改正 </w:t>
            </w:r>
            <w:r>
              <w:rPr>
                <w:spacing w:val="-11"/>
                <w:w w:val="95"/>
                <w:sz w:val="21"/>
              </w:rPr>
              <w:t>的，处五万元以上二十万元以下的罚款，对</w:t>
            </w:r>
            <w:r>
              <w:rPr>
                <w:spacing w:val="-11"/>
                <w:sz w:val="21"/>
              </w:rPr>
              <w:t>其直接负责的主管人员和其他直接责任人</w:t>
            </w:r>
            <w:r>
              <w:rPr>
                <w:spacing w:val="-11"/>
                <w:w w:val="95"/>
                <w:sz w:val="21"/>
              </w:rPr>
              <w:t>员处一万元以上二万元以下的罚款;情节严 重的，责令停产停业整顿;构成犯罪的，依</w:t>
            </w:r>
            <w:r>
              <w:rPr>
                <w:spacing w:val="-11"/>
                <w:sz w:val="21"/>
              </w:rPr>
              <w:t>照刑法有关规定追究刑事责任:...</w:t>
            </w:r>
          </w:p>
          <w:p>
            <w:pPr>
              <w:pStyle w:val="7"/>
              <w:spacing w:before="11" w:line="266" w:lineRule="auto"/>
              <w:ind w:left="106" w:right="97"/>
              <w:jc w:val="center"/>
              <w:rPr>
                <w:sz w:val="21"/>
              </w:rPr>
            </w:pPr>
            <w:r>
              <w:rPr>
                <w:spacing w:val="-8"/>
                <w:w w:val="95"/>
                <w:sz w:val="21"/>
              </w:rPr>
              <w:t>(二)安全设备的安装、使用、检测、改造和</w:t>
            </w:r>
            <w:r>
              <w:rPr>
                <w:spacing w:val="-8"/>
                <w:sz w:val="21"/>
              </w:rPr>
              <w:t>报废不符合国家标准或者行业标准的;</w:t>
            </w:r>
          </w:p>
          <w:p>
            <w:pPr>
              <w:pStyle w:val="7"/>
              <w:spacing w:before="2" w:line="266" w:lineRule="auto"/>
              <w:ind w:left="106" w:right="97"/>
              <w:jc w:val="center"/>
              <w:rPr>
                <w:sz w:val="21"/>
              </w:rPr>
            </w:pPr>
            <w:r>
              <w:rPr>
                <w:spacing w:val="-6"/>
                <w:w w:val="95"/>
                <w:sz w:val="21"/>
              </w:rPr>
              <w:t>(三)未对安全设备进行经常性维护、保养和</w:t>
            </w:r>
            <w:r>
              <w:rPr>
                <w:spacing w:val="-6"/>
                <w:sz w:val="21"/>
              </w:rPr>
              <w:t>定期检测的;</w:t>
            </w:r>
          </w:p>
        </w:tc>
      </w:tr>
    </w:tbl>
    <w:p>
      <w:pPr>
        <w:spacing w:after="0" w:line="266" w:lineRule="auto"/>
        <w:jc w:val="center"/>
        <w:rPr>
          <w:sz w:val="21"/>
        </w:rPr>
        <w:sectPr>
          <w:footerReference r:id="rId8" w:type="default"/>
          <w:pgSz w:w="16840" w:h="11910" w:orient="landscape"/>
          <w:pgMar w:top="1100" w:right="700" w:bottom="1100" w:left="700" w:header="0" w:footer="907" w:gutter="0"/>
          <w:pgNumType w:start="4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W w:w="13744" w:type="dxa"/>
        <w:tblInd w:w="7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1843"/>
        <w:gridCol w:w="4371"/>
        <w:gridCol w:w="2606"/>
        <w:gridCol w:w="4107"/>
      </w:tblGrid>
      <w:tr>
        <w:trPr>
          <w:trHeight w:val="533" w:hRule="atLeast"/>
        </w:trPr>
        <w:tc>
          <w:tcPr>
            <w:tcW w:w="817" w:type="dxa"/>
            <w:vAlign w:val="top"/>
          </w:tcPr>
          <w:p>
            <w:pPr>
              <w:pStyle w:val="7"/>
              <w:spacing w:before="136"/>
              <w:ind w:left="146" w:right="138"/>
              <w:jc w:val="center"/>
              <w:rPr>
                <w:rFonts w:hint="eastAsia" w:ascii="黑体" w:eastAsia="黑体"/>
                <w:sz w:val="24"/>
              </w:rPr>
            </w:pPr>
            <w:r>
              <w:rPr>
                <w:rFonts w:hint="eastAsia" w:ascii="黑体" w:eastAsia="黑体"/>
                <w:sz w:val="24"/>
              </w:rPr>
              <w:t>序号</w:t>
            </w:r>
          </w:p>
        </w:tc>
        <w:tc>
          <w:tcPr>
            <w:tcW w:w="1843" w:type="dxa"/>
            <w:vAlign w:val="top"/>
          </w:tcPr>
          <w:p>
            <w:pPr>
              <w:pStyle w:val="7"/>
              <w:spacing w:before="136"/>
              <w:ind w:left="200"/>
              <w:rPr>
                <w:rFonts w:hint="eastAsia" w:ascii="黑体" w:eastAsia="黑体"/>
                <w:sz w:val="24"/>
              </w:rPr>
            </w:pPr>
            <w:r>
              <w:rPr>
                <w:rFonts w:hint="eastAsia" w:ascii="黑体" w:eastAsia="黑体"/>
                <w:sz w:val="24"/>
              </w:rPr>
              <w:t>违法行为描述</w:t>
            </w:r>
          </w:p>
        </w:tc>
        <w:tc>
          <w:tcPr>
            <w:tcW w:w="4371" w:type="dxa"/>
            <w:vAlign w:val="top"/>
          </w:tcPr>
          <w:p>
            <w:pPr>
              <w:pStyle w:val="7"/>
              <w:spacing w:before="136"/>
              <w:ind w:left="1685" w:right="1675"/>
              <w:jc w:val="center"/>
              <w:rPr>
                <w:rFonts w:hint="eastAsia" w:ascii="黑体" w:eastAsia="黑体"/>
                <w:sz w:val="24"/>
              </w:rPr>
            </w:pPr>
            <w:r>
              <w:rPr>
                <w:rFonts w:hint="eastAsia" w:ascii="黑体" w:eastAsia="黑体"/>
                <w:sz w:val="24"/>
              </w:rPr>
              <w:t>执法依据</w:t>
            </w:r>
          </w:p>
        </w:tc>
        <w:tc>
          <w:tcPr>
            <w:tcW w:w="2606" w:type="dxa"/>
            <w:vAlign w:val="top"/>
          </w:tcPr>
          <w:p>
            <w:pPr>
              <w:pStyle w:val="7"/>
              <w:spacing w:before="136"/>
              <w:ind w:left="821"/>
              <w:rPr>
                <w:rFonts w:hint="eastAsia" w:ascii="黑体" w:eastAsia="黑体"/>
                <w:sz w:val="24"/>
              </w:rPr>
            </w:pPr>
            <w:r>
              <w:rPr>
                <w:rFonts w:hint="eastAsia" w:ascii="黑体" w:eastAsia="黑体"/>
                <w:sz w:val="24"/>
              </w:rPr>
              <w:t>检查方式</w:t>
            </w:r>
          </w:p>
        </w:tc>
        <w:tc>
          <w:tcPr>
            <w:tcW w:w="4107" w:type="dxa"/>
            <w:vAlign w:val="top"/>
          </w:tcPr>
          <w:p>
            <w:pPr>
              <w:pStyle w:val="7"/>
              <w:spacing w:before="136"/>
              <w:ind w:left="70" w:right="61"/>
              <w:jc w:val="center"/>
              <w:rPr>
                <w:rFonts w:hint="eastAsia" w:ascii="黑体" w:eastAsia="黑体"/>
                <w:sz w:val="24"/>
              </w:rPr>
            </w:pPr>
            <w:r>
              <w:rPr>
                <w:rFonts w:hint="eastAsia" w:ascii="黑体" w:eastAsia="黑体"/>
                <w:sz w:val="24"/>
              </w:rPr>
              <w:t>处罚依据</w:t>
            </w:r>
          </w:p>
        </w:tc>
      </w:tr>
      <w:tr>
        <w:trPr>
          <w:trHeight w:val="7359" w:hRule="atLeast"/>
        </w:trPr>
        <w:tc>
          <w:tcPr>
            <w:tcW w:w="817"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16"/>
              <w:ind w:left="7"/>
              <w:jc w:val="center"/>
              <w:rPr>
                <w:sz w:val="21"/>
              </w:rPr>
            </w:pPr>
            <w:r>
              <w:rPr>
                <w:w w:val="99"/>
                <w:sz w:val="21"/>
              </w:rPr>
              <w:t>6</w:t>
            </w:r>
          </w:p>
        </w:tc>
        <w:tc>
          <w:tcPr>
            <w:tcW w:w="1843"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4"/>
              <w:rPr>
                <w:rFonts w:ascii="Times New Roman"/>
                <w:sz w:val="22"/>
              </w:rPr>
            </w:pPr>
          </w:p>
          <w:p>
            <w:pPr>
              <w:pStyle w:val="7"/>
              <w:spacing w:line="285" w:lineRule="auto"/>
              <w:ind w:left="106" w:right="96"/>
              <w:jc w:val="center"/>
              <w:rPr>
                <w:sz w:val="21"/>
              </w:rPr>
            </w:pPr>
            <w:r>
              <w:rPr>
                <w:sz w:val="21"/>
              </w:rPr>
              <w:t>未按规定落实自</w:t>
            </w:r>
            <w:r>
              <w:rPr>
                <w:spacing w:val="-10"/>
                <w:sz w:val="21"/>
              </w:rPr>
              <w:t>动化控制、安全仪</w:t>
            </w:r>
            <w:r>
              <w:rPr>
                <w:sz w:val="21"/>
              </w:rPr>
              <w:t>表系统改造</w:t>
            </w:r>
          </w:p>
        </w:tc>
        <w:tc>
          <w:tcPr>
            <w:tcW w:w="4371"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57" w:line="285" w:lineRule="auto"/>
              <w:ind w:left="107" w:right="99"/>
              <w:rPr>
                <w:sz w:val="21"/>
              </w:rPr>
            </w:pPr>
            <w:r>
              <w:rPr>
                <w:sz w:val="21"/>
              </w:rPr>
              <w:t>【法律】《安全生产法》</w:t>
            </w:r>
            <w:r>
              <w:rPr>
                <w:color w:val="333333"/>
                <w:spacing w:val="-2"/>
                <w:sz w:val="21"/>
              </w:rPr>
              <w:t>第十七条 生产经营</w:t>
            </w:r>
            <w:r>
              <w:rPr>
                <w:color w:val="333333"/>
                <w:spacing w:val="-6"/>
                <w:w w:val="95"/>
                <w:sz w:val="21"/>
              </w:rPr>
              <w:t xml:space="preserve">单位应当具备本法和有关法律、行政法规和国 </w:t>
            </w:r>
            <w:r>
              <w:rPr>
                <w:color w:val="333333"/>
                <w:spacing w:val="-6"/>
                <w:sz w:val="21"/>
              </w:rPr>
              <w:t>家标准或者行业标准规定的安全生产条件;不具备安全生产条件的，不得从事生产经营活动。</w:t>
            </w:r>
          </w:p>
          <w:p>
            <w:pPr>
              <w:pStyle w:val="7"/>
              <w:spacing w:line="285" w:lineRule="auto"/>
              <w:ind w:left="107" w:right="-15"/>
              <w:rPr>
                <w:sz w:val="21"/>
              </w:rPr>
            </w:pPr>
            <w:r>
              <w:rPr>
                <w:spacing w:val="-4"/>
                <w:sz w:val="21"/>
              </w:rPr>
              <w:t>【规范性文件】</w:t>
            </w:r>
            <w:r>
              <w:rPr>
                <w:sz w:val="21"/>
              </w:rPr>
              <w:t>（一</w:t>
            </w:r>
            <w:r>
              <w:rPr>
                <w:spacing w:val="-22"/>
                <w:sz w:val="21"/>
              </w:rPr>
              <w:t>）</w:t>
            </w:r>
            <w:r>
              <w:rPr>
                <w:sz w:val="21"/>
              </w:rPr>
              <w:t>《危险化学品安全专项</w:t>
            </w:r>
            <w:r>
              <w:rPr>
                <w:spacing w:val="-5"/>
                <w:sz w:val="21"/>
              </w:rPr>
              <w:t>整治三年行动实施方案》</w:t>
            </w:r>
            <w:r>
              <w:rPr>
                <w:sz w:val="21"/>
              </w:rPr>
              <w:t>（</w:t>
            </w:r>
            <w:r>
              <w:rPr>
                <w:spacing w:val="-8"/>
                <w:sz w:val="21"/>
              </w:rPr>
              <w:t>安委〔</w:t>
            </w:r>
            <w:r>
              <w:rPr>
                <w:sz w:val="21"/>
              </w:rPr>
              <w:t>2020</w:t>
            </w:r>
            <w:r>
              <w:rPr>
                <w:spacing w:val="-25"/>
                <w:sz w:val="21"/>
              </w:rPr>
              <w:t>〕</w:t>
            </w:r>
            <w:r>
              <w:rPr>
                <w:sz w:val="21"/>
              </w:rPr>
              <w:t>3</w:t>
            </w:r>
            <w:r>
              <w:rPr>
                <w:spacing w:val="-31"/>
                <w:sz w:val="21"/>
              </w:rPr>
              <w:t xml:space="preserve"> 号</w:t>
            </w:r>
            <w:r>
              <w:rPr>
                <w:sz w:val="21"/>
              </w:rPr>
              <w:t xml:space="preserve">） </w:t>
            </w:r>
            <w:r>
              <w:rPr>
                <w:spacing w:val="-1"/>
                <w:sz w:val="21"/>
              </w:rPr>
              <w:t>第二条。 “两重点一重大”生产装置、储存设施应配备紧急切断装置、自动化控制系统；</w:t>
            </w:r>
          </w:p>
          <w:p>
            <w:pPr>
              <w:pStyle w:val="7"/>
              <w:spacing w:line="285" w:lineRule="auto"/>
              <w:ind w:left="107" w:right="99"/>
              <w:rPr>
                <w:sz w:val="21"/>
              </w:rPr>
            </w:pPr>
            <w:r>
              <w:rPr>
                <w:w w:val="95"/>
                <w:sz w:val="21"/>
              </w:rPr>
              <w:t>（二）《国家安全监管总局关于加强化工安全</w:t>
            </w:r>
            <w:r>
              <w:rPr>
                <w:sz w:val="21"/>
              </w:rPr>
              <w:t>仪表系统管理的指导意见》（安监总管三</w:t>
            </w:r>
          </w:p>
          <w:p>
            <w:pPr>
              <w:pStyle w:val="7"/>
              <w:spacing w:line="285" w:lineRule="auto"/>
              <w:ind w:left="107" w:right="96"/>
              <w:rPr>
                <w:sz w:val="21"/>
              </w:rPr>
            </w:pPr>
            <w:r>
              <w:rPr>
                <w:sz w:val="21"/>
              </w:rPr>
              <w:t>〔2014〕116</w:t>
            </w:r>
            <w:r>
              <w:rPr>
                <w:spacing w:val="-28"/>
                <w:sz w:val="21"/>
              </w:rPr>
              <w:t xml:space="preserve"> 号</w:t>
            </w:r>
            <w:r>
              <w:rPr>
                <w:sz w:val="21"/>
              </w:rPr>
              <w:t>）（十三）</w:t>
            </w:r>
            <w:r>
              <w:rPr>
                <w:spacing w:val="-26"/>
                <w:sz w:val="21"/>
              </w:rPr>
              <w:t xml:space="preserve">从 </w:t>
            </w:r>
            <w:r>
              <w:rPr>
                <w:sz w:val="21"/>
              </w:rPr>
              <w:t>2018</w:t>
            </w:r>
            <w:r>
              <w:rPr>
                <w:spacing w:val="-36"/>
                <w:sz w:val="21"/>
              </w:rPr>
              <w:t xml:space="preserve"> 年 </w:t>
            </w:r>
            <w:r>
              <w:rPr>
                <w:sz w:val="21"/>
              </w:rPr>
              <w:t>1</w:t>
            </w:r>
            <w:r>
              <w:rPr>
                <w:spacing w:val="-36"/>
                <w:sz w:val="21"/>
              </w:rPr>
              <w:t xml:space="preserve"> 月 </w:t>
            </w:r>
            <w:r>
              <w:rPr>
                <w:sz w:val="21"/>
              </w:rPr>
              <w:t xml:space="preserve">1 </w:t>
            </w:r>
            <w:r>
              <w:rPr>
                <w:spacing w:val="-6"/>
                <w:w w:val="95"/>
                <w:sz w:val="21"/>
              </w:rPr>
              <w:t xml:space="preserve">日起，所有新建涉及“两重点一重大”的化工 </w:t>
            </w:r>
            <w:r>
              <w:rPr>
                <w:spacing w:val="-6"/>
                <w:sz w:val="21"/>
              </w:rPr>
              <w:t>装置和危险化学品储存设施要设计符合要求</w:t>
            </w:r>
            <w:r>
              <w:rPr>
                <w:spacing w:val="-9"/>
                <w:w w:val="95"/>
                <w:sz w:val="21"/>
              </w:rPr>
              <w:t xml:space="preserve">的安全仪表系统。其他新建化工装置、危险化 </w:t>
            </w:r>
            <w:r>
              <w:rPr>
                <w:spacing w:val="-18"/>
                <w:sz w:val="21"/>
              </w:rPr>
              <w:t xml:space="preserve">学品储存设施安全仪表系统，从 </w:t>
            </w:r>
            <w:r>
              <w:rPr>
                <w:sz w:val="21"/>
              </w:rPr>
              <w:t>2020</w:t>
            </w:r>
            <w:r>
              <w:rPr>
                <w:spacing w:val="-36"/>
                <w:sz w:val="21"/>
              </w:rPr>
              <w:t xml:space="preserve"> 年 </w:t>
            </w:r>
            <w:r>
              <w:rPr>
                <w:sz w:val="21"/>
              </w:rPr>
              <w:t>1</w:t>
            </w:r>
            <w:r>
              <w:rPr>
                <w:spacing w:val="-36"/>
                <w:sz w:val="21"/>
              </w:rPr>
              <w:t xml:space="preserve"> 月 </w:t>
            </w:r>
            <w:r>
              <w:rPr>
                <w:sz w:val="21"/>
              </w:rPr>
              <w:t xml:space="preserve">1 </w:t>
            </w:r>
            <w:r>
              <w:rPr>
                <w:spacing w:val="-6"/>
                <w:w w:val="95"/>
                <w:sz w:val="21"/>
              </w:rPr>
              <w:t xml:space="preserve">日起，应执行功能安全相关标准要求，设计符 </w:t>
            </w:r>
            <w:r>
              <w:rPr>
                <w:spacing w:val="-6"/>
                <w:sz w:val="21"/>
              </w:rPr>
              <w:t>合要求的安全仪表系统。</w:t>
            </w:r>
          </w:p>
        </w:tc>
        <w:tc>
          <w:tcPr>
            <w:tcW w:w="2606"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7"/>
              <w:rPr>
                <w:rFonts w:ascii="Times New Roman"/>
                <w:sz w:val="20"/>
              </w:rPr>
            </w:pPr>
          </w:p>
          <w:p>
            <w:pPr>
              <w:pStyle w:val="7"/>
              <w:spacing w:line="285" w:lineRule="auto"/>
              <w:ind w:left="147" w:right="137"/>
              <w:jc w:val="center"/>
              <w:rPr>
                <w:sz w:val="21"/>
              </w:rPr>
            </w:pPr>
            <w:r>
              <w:rPr>
                <w:sz w:val="21"/>
              </w:rPr>
              <w:t>查阅资料：查阅《安全评价报告》和自动化改造、安全仪表系统改造文件。现场检查：检查中央控制室生产控制系统和监测监控设施设备。</w:t>
            </w:r>
          </w:p>
        </w:tc>
        <w:tc>
          <w:tcPr>
            <w:tcW w:w="4107" w:type="dxa"/>
            <w:vAlign w:val="top"/>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22" w:line="314" w:lineRule="auto"/>
              <w:ind w:left="106" w:right="92" w:hanging="3"/>
              <w:jc w:val="center"/>
              <w:rPr>
                <w:sz w:val="19"/>
              </w:rPr>
            </w:pPr>
            <w:r>
              <w:rPr>
                <w:spacing w:val="-6"/>
                <w:sz w:val="21"/>
              </w:rPr>
              <w:t>【法律】《安全生产法》</w:t>
            </w:r>
            <w:r>
              <w:rPr>
                <w:color w:val="333333"/>
                <w:spacing w:val="-2"/>
                <w:sz w:val="19"/>
              </w:rPr>
              <w:t>第九十九条 生产经营单位未采取措施消除事故隐患的，责令立即</w:t>
            </w:r>
            <w:r>
              <w:rPr>
                <w:color w:val="333333"/>
                <w:spacing w:val="-1"/>
                <w:sz w:val="19"/>
              </w:rPr>
              <w:t>消除或者限期消除;生产经营单位拒不执行的， 责令停产停业整顿，并处十万元以上五十万元以下的罚款，对其直接负责的主管人员和其他直接责任人员处二万元以上五万元以下的罚</w:t>
            </w:r>
          </w:p>
          <w:p>
            <w:pPr>
              <w:pStyle w:val="7"/>
              <w:spacing w:line="236" w:lineRule="exact"/>
              <w:ind w:left="71" w:right="61"/>
              <w:jc w:val="center"/>
              <w:rPr>
                <w:sz w:val="19"/>
              </w:rPr>
            </w:pPr>
            <w:r>
              <w:rPr>
                <w:color w:val="333333"/>
                <w:sz w:val="19"/>
              </w:rPr>
              <w:t>款。</w:t>
            </w:r>
          </w:p>
        </w:tc>
      </w:tr>
    </w:tbl>
    <w:p>
      <w:pPr>
        <w:spacing w:after="0" w:line="236" w:lineRule="exact"/>
        <w:jc w:val="center"/>
        <w:rPr>
          <w:sz w:val="19"/>
        </w:rPr>
        <w:sectPr>
          <w:pgSz w:w="16840" w:h="11910" w:orient="landscape"/>
          <w:pgMar w:top="1100" w:right="700" w:bottom="1100" w:left="700" w:header="0" w:footer="907"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W w:w="13744" w:type="dxa"/>
        <w:tblInd w:w="7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1843"/>
        <w:gridCol w:w="4371"/>
        <w:gridCol w:w="2606"/>
        <w:gridCol w:w="4107"/>
      </w:tblGrid>
      <w:tr>
        <w:trPr>
          <w:trHeight w:val="533" w:hRule="atLeast"/>
        </w:trPr>
        <w:tc>
          <w:tcPr>
            <w:tcW w:w="817" w:type="dxa"/>
            <w:vAlign w:val="top"/>
          </w:tcPr>
          <w:p>
            <w:pPr>
              <w:pStyle w:val="7"/>
              <w:spacing w:before="136"/>
              <w:ind w:left="146" w:right="138"/>
              <w:jc w:val="center"/>
              <w:rPr>
                <w:rFonts w:hint="eastAsia" w:ascii="黑体" w:eastAsia="黑体"/>
                <w:sz w:val="24"/>
              </w:rPr>
            </w:pPr>
            <w:r>
              <w:rPr>
                <w:rFonts w:hint="eastAsia" w:ascii="黑体" w:eastAsia="黑体"/>
                <w:sz w:val="24"/>
              </w:rPr>
              <w:t>序号</w:t>
            </w:r>
          </w:p>
        </w:tc>
        <w:tc>
          <w:tcPr>
            <w:tcW w:w="1843" w:type="dxa"/>
            <w:vAlign w:val="top"/>
          </w:tcPr>
          <w:p>
            <w:pPr>
              <w:pStyle w:val="7"/>
              <w:spacing w:before="136"/>
              <w:ind w:left="200"/>
              <w:rPr>
                <w:rFonts w:hint="eastAsia" w:ascii="黑体" w:eastAsia="黑体"/>
                <w:sz w:val="24"/>
              </w:rPr>
            </w:pPr>
            <w:r>
              <w:rPr>
                <w:rFonts w:hint="eastAsia" w:ascii="黑体" w:eastAsia="黑体"/>
                <w:sz w:val="24"/>
              </w:rPr>
              <w:t>违法行为描述</w:t>
            </w:r>
          </w:p>
        </w:tc>
        <w:tc>
          <w:tcPr>
            <w:tcW w:w="4371" w:type="dxa"/>
            <w:vAlign w:val="top"/>
          </w:tcPr>
          <w:p>
            <w:pPr>
              <w:pStyle w:val="7"/>
              <w:spacing w:before="136"/>
              <w:ind w:left="1685" w:right="1675"/>
              <w:jc w:val="center"/>
              <w:rPr>
                <w:rFonts w:hint="eastAsia" w:ascii="黑体" w:eastAsia="黑体"/>
                <w:sz w:val="24"/>
              </w:rPr>
            </w:pPr>
            <w:r>
              <w:rPr>
                <w:rFonts w:hint="eastAsia" w:ascii="黑体" w:eastAsia="黑体"/>
                <w:sz w:val="24"/>
              </w:rPr>
              <w:t>执法依据</w:t>
            </w:r>
          </w:p>
        </w:tc>
        <w:tc>
          <w:tcPr>
            <w:tcW w:w="2606" w:type="dxa"/>
            <w:vAlign w:val="top"/>
          </w:tcPr>
          <w:p>
            <w:pPr>
              <w:pStyle w:val="7"/>
              <w:spacing w:before="136"/>
              <w:ind w:left="821"/>
              <w:rPr>
                <w:rFonts w:hint="eastAsia" w:ascii="黑体" w:eastAsia="黑体"/>
                <w:sz w:val="24"/>
              </w:rPr>
            </w:pPr>
            <w:r>
              <w:rPr>
                <w:rFonts w:hint="eastAsia" w:ascii="黑体" w:eastAsia="黑体"/>
                <w:sz w:val="24"/>
              </w:rPr>
              <w:t>检查方式</w:t>
            </w:r>
          </w:p>
        </w:tc>
        <w:tc>
          <w:tcPr>
            <w:tcW w:w="4107" w:type="dxa"/>
            <w:vAlign w:val="top"/>
          </w:tcPr>
          <w:p>
            <w:pPr>
              <w:pStyle w:val="7"/>
              <w:spacing w:before="136"/>
              <w:ind w:left="70" w:right="61"/>
              <w:jc w:val="center"/>
              <w:rPr>
                <w:rFonts w:hint="eastAsia" w:ascii="黑体" w:eastAsia="黑体"/>
                <w:sz w:val="24"/>
              </w:rPr>
            </w:pPr>
            <w:r>
              <w:rPr>
                <w:rFonts w:hint="eastAsia" w:ascii="黑体" w:eastAsia="黑体"/>
                <w:sz w:val="24"/>
              </w:rPr>
              <w:t>处罚依据</w:t>
            </w:r>
          </w:p>
        </w:tc>
      </w:tr>
      <w:tr>
        <w:trPr>
          <w:trHeight w:val="7359" w:hRule="atLeast"/>
        </w:trPr>
        <w:tc>
          <w:tcPr>
            <w:tcW w:w="817"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16"/>
              <w:ind w:left="7"/>
              <w:jc w:val="center"/>
              <w:rPr>
                <w:sz w:val="21"/>
              </w:rPr>
            </w:pPr>
            <w:r>
              <w:rPr>
                <w:w w:val="99"/>
                <w:sz w:val="21"/>
              </w:rPr>
              <w:t>7</w:t>
            </w:r>
          </w:p>
        </w:tc>
        <w:tc>
          <w:tcPr>
            <w:tcW w:w="1843"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4"/>
              <w:rPr>
                <w:rFonts w:ascii="Times New Roman"/>
                <w:sz w:val="22"/>
              </w:rPr>
            </w:pPr>
          </w:p>
          <w:p>
            <w:pPr>
              <w:pStyle w:val="7"/>
              <w:spacing w:line="285" w:lineRule="auto"/>
              <w:ind w:left="186" w:right="175"/>
              <w:jc w:val="center"/>
              <w:rPr>
                <w:sz w:val="21"/>
              </w:rPr>
            </w:pPr>
            <w:r>
              <w:rPr>
                <w:sz w:val="21"/>
              </w:rPr>
              <w:t>未按规定落实危险装置安全防护距离要求</w:t>
            </w:r>
          </w:p>
        </w:tc>
        <w:tc>
          <w:tcPr>
            <w:tcW w:w="4371" w:type="dxa"/>
            <w:vAlign w:val="top"/>
          </w:tcPr>
          <w:p>
            <w:pPr>
              <w:pStyle w:val="7"/>
              <w:rPr>
                <w:rFonts w:ascii="Times New Roman"/>
                <w:sz w:val="20"/>
              </w:rPr>
            </w:pPr>
          </w:p>
          <w:p>
            <w:pPr>
              <w:pStyle w:val="7"/>
              <w:spacing w:before="7"/>
              <w:rPr>
                <w:rFonts w:ascii="Times New Roman"/>
                <w:sz w:val="25"/>
              </w:rPr>
            </w:pPr>
          </w:p>
          <w:p>
            <w:pPr>
              <w:pStyle w:val="7"/>
              <w:spacing w:before="1" w:line="285" w:lineRule="auto"/>
              <w:ind w:left="107" w:right="99"/>
              <w:rPr>
                <w:sz w:val="21"/>
              </w:rPr>
            </w:pPr>
            <w:r>
              <w:rPr>
                <w:sz w:val="21"/>
              </w:rPr>
              <w:t>【法律】《安全生产法》</w:t>
            </w:r>
            <w:r>
              <w:rPr>
                <w:color w:val="333333"/>
                <w:spacing w:val="-2"/>
                <w:sz w:val="21"/>
              </w:rPr>
              <w:t>第十七条 生产经营</w:t>
            </w:r>
            <w:r>
              <w:rPr>
                <w:color w:val="333333"/>
                <w:spacing w:val="-6"/>
                <w:w w:val="95"/>
                <w:sz w:val="21"/>
              </w:rPr>
              <w:t xml:space="preserve">单位应当具备本法和有关法律、行政法规和国 </w:t>
            </w:r>
            <w:r>
              <w:rPr>
                <w:color w:val="333333"/>
                <w:spacing w:val="-6"/>
                <w:sz w:val="21"/>
              </w:rPr>
              <w:t>家标准或者行业标准规定的安全生产条件;不具备安全生产条件的，不得从事生产经营活动。</w:t>
            </w:r>
          </w:p>
          <w:p>
            <w:pPr>
              <w:pStyle w:val="7"/>
              <w:spacing w:line="285" w:lineRule="auto"/>
              <w:ind w:left="107" w:right="-15"/>
              <w:rPr>
                <w:sz w:val="21"/>
              </w:rPr>
            </w:pPr>
            <w:r>
              <w:rPr>
                <w:spacing w:val="-4"/>
                <w:sz w:val="21"/>
              </w:rPr>
              <w:t>【规范性文件】</w:t>
            </w:r>
            <w:r>
              <w:rPr>
                <w:sz w:val="21"/>
              </w:rPr>
              <w:t>（一</w:t>
            </w:r>
            <w:r>
              <w:rPr>
                <w:spacing w:val="-22"/>
                <w:sz w:val="21"/>
              </w:rPr>
              <w:t>）</w:t>
            </w:r>
            <w:r>
              <w:rPr>
                <w:sz w:val="21"/>
              </w:rPr>
              <w:t>《危险化学品安全专项</w:t>
            </w:r>
            <w:r>
              <w:rPr>
                <w:spacing w:val="-5"/>
                <w:sz w:val="21"/>
              </w:rPr>
              <w:t>整治三年行动实施方案》</w:t>
            </w:r>
            <w:r>
              <w:rPr>
                <w:sz w:val="21"/>
              </w:rPr>
              <w:t>（</w:t>
            </w:r>
            <w:r>
              <w:rPr>
                <w:spacing w:val="-8"/>
                <w:sz w:val="21"/>
              </w:rPr>
              <w:t>安委〔</w:t>
            </w:r>
            <w:r>
              <w:rPr>
                <w:sz w:val="21"/>
              </w:rPr>
              <w:t>2020</w:t>
            </w:r>
            <w:r>
              <w:rPr>
                <w:spacing w:val="-25"/>
                <w:sz w:val="21"/>
              </w:rPr>
              <w:t>〕</w:t>
            </w:r>
            <w:r>
              <w:rPr>
                <w:sz w:val="21"/>
              </w:rPr>
              <w:t>3</w:t>
            </w:r>
            <w:r>
              <w:rPr>
                <w:spacing w:val="-31"/>
                <w:sz w:val="21"/>
              </w:rPr>
              <w:t xml:space="preserve"> 号</w:t>
            </w:r>
            <w:r>
              <w:rPr>
                <w:sz w:val="21"/>
              </w:rPr>
              <w:t>） 第二条。1</w:t>
            </w:r>
            <w:r>
              <w:rPr>
                <w:spacing w:val="-2"/>
                <w:sz w:val="21"/>
              </w:rPr>
              <w:t>. 危险化学品生产储存企业要按照</w:t>
            </w:r>
          </w:p>
          <w:p>
            <w:pPr>
              <w:pStyle w:val="7"/>
              <w:spacing w:line="269" w:lineRule="exact"/>
              <w:ind w:left="107"/>
              <w:rPr>
                <w:sz w:val="21"/>
              </w:rPr>
            </w:pPr>
            <w:r>
              <w:rPr>
                <w:sz w:val="21"/>
              </w:rPr>
              <w:t>《危险化学品生产装置和储存设施风险基准》</w:t>
            </w:r>
          </w:p>
          <w:p>
            <w:pPr>
              <w:pStyle w:val="7"/>
              <w:spacing w:before="50" w:line="288" w:lineRule="auto"/>
              <w:ind w:left="107" w:right="159"/>
              <w:rPr>
                <w:sz w:val="21"/>
              </w:rPr>
            </w:pPr>
            <w:r>
              <w:rPr>
                <w:sz w:val="21"/>
              </w:rPr>
              <w:t>（GB 36894-2018）和《危险化学品生产装置和储存设施外部安全防护距离确定方法》</w:t>
            </w:r>
          </w:p>
          <w:p>
            <w:pPr>
              <w:pStyle w:val="7"/>
              <w:spacing w:line="285" w:lineRule="auto"/>
              <w:ind w:left="107" w:right="51"/>
              <w:rPr>
                <w:sz w:val="21"/>
              </w:rPr>
            </w:pPr>
            <w:r>
              <w:rPr>
                <w:sz w:val="21"/>
              </w:rPr>
              <w:t>（GB/T</w:t>
            </w:r>
            <w:r>
              <w:rPr>
                <w:spacing w:val="-5"/>
                <w:sz w:val="21"/>
              </w:rPr>
              <w:t xml:space="preserve"> </w:t>
            </w:r>
            <w:r>
              <w:rPr>
                <w:sz w:val="21"/>
              </w:rPr>
              <w:t>37243-2019）等标准规范确定外部安全防护距离。2</w:t>
            </w:r>
            <w:r>
              <w:rPr>
                <w:spacing w:val="-3"/>
                <w:sz w:val="21"/>
              </w:rPr>
              <w:t xml:space="preserve">. 涉及爆炸危险性化学品的生产装置控制室、交接班室不得布置在装置区 </w:t>
            </w:r>
            <w:r>
              <w:rPr>
                <w:spacing w:val="-9"/>
                <w:sz w:val="21"/>
              </w:rPr>
              <w:t>内；</w:t>
            </w:r>
            <w:r>
              <w:rPr>
                <w:spacing w:val="-15"/>
                <w:sz w:val="21"/>
              </w:rPr>
              <w:t>3.</w:t>
            </w:r>
            <w:r>
              <w:rPr>
                <w:sz w:val="21"/>
              </w:rPr>
              <w:t>涉及甲乙类火灾危险性的生产装置控制</w:t>
            </w:r>
            <w:r>
              <w:rPr>
                <w:spacing w:val="-6"/>
                <w:sz w:val="21"/>
              </w:rPr>
              <w:t>室、交接班室应按要求完成抗爆设计、建设和加固。4</w:t>
            </w:r>
            <w:r>
              <w:rPr>
                <w:spacing w:val="-3"/>
                <w:sz w:val="21"/>
              </w:rPr>
              <w:t>. 具有甲乙类火灾危险性、粉尘爆炸</w:t>
            </w:r>
            <w:r>
              <w:rPr>
                <w:spacing w:val="-3"/>
                <w:w w:val="95"/>
                <w:sz w:val="21"/>
              </w:rPr>
              <w:t xml:space="preserve">危险性、中毒危险性的厂房（含装置或车间） </w:t>
            </w:r>
            <w:r>
              <w:rPr>
                <w:spacing w:val="-7"/>
                <w:sz w:val="21"/>
              </w:rPr>
              <w:t>和仓库内的办公室、休息室、外操室、巡检室必须拆除。</w:t>
            </w:r>
          </w:p>
        </w:tc>
        <w:tc>
          <w:tcPr>
            <w:tcW w:w="2606"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0"/>
              <w:rPr>
                <w:rFonts w:ascii="Times New Roman"/>
                <w:sz w:val="18"/>
              </w:rPr>
            </w:pPr>
          </w:p>
          <w:p>
            <w:pPr>
              <w:pStyle w:val="7"/>
              <w:spacing w:line="285" w:lineRule="auto"/>
              <w:ind w:left="147" w:right="137"/>
              <w:jc w:val="center"/>
              <w:rPr>
                <w:sz w:val="21"/>
              </w:rPr>
            </w:pPr>
            <w:r>
              <w:rPr>
                <w:sz w:val="21"/>
              </w:rPr>
              <w:t>查阅资料：查阅《安全评价报告》和危险化学品企业外部安全防护距离确认表。</w:t>
            </w:r>
          </w:p>
          <w:p>
            <w:pPr>
              <w:pStyle w:val="7"/>
              <w:spacing w:line="285" w:lineRule="auto"/>
              <w:ind w:left="147" w:right="137"/>
              <w:jc w:val="center"/>
              <w:rPr>
                <w:sz w:val="21"/>
              </w:rPr>
            </w:pPr>
            <w:r>
              <w:rPr>
                <w:sz w:val="21"/>
              </w:rPr>
              <w:t>现场检查：检查爆炸危险场所、火灾危险场所是否存在控制室、交接班、办公室、休息室、外操室、巡检室等。</w:t>
            </w:r>
          </w:p>
        </w:tc>
        <w:tc>
          <w:tcPr>
            <w:tcW w:w="4107" w:type="dxa"/>
            <w:vAlign w:val="top"/>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22" w:line="314" w:lineRule="auto"/>
              <w:ind w:left="106" w:right="92" w:hanging="3"/>
              <w:jc w:val="center"/>
              <w:rPr>
                <w:sz w:val="19"/>
              </w:rPr>
            </w:pPr>
            <w:r>
              <w:rPr>
                <w:spacing w:val="-6"/>
                <w:sz w:val="21"/>
              </w:rPr>
              <w:t>【法律】《安全生产法》</w:t>
            </w:r>
            <w:r>
              <w:rPr>
                <w:color w:val="333333"/>
                <w:spacing w:val="-2"/>
                <w:sz w:val="19"/>
              </w:rPr>
              <w:t>第九十九条 生产经营单位未采取措施消除事故隐患的，责令立即</w:t>
            </w:r>
            <w:r>
              <w:rPr>
                <w:color w:val="333333"/>
                <w:spacing w:val="-1"/>
                <w:sz w:val="19"/>
              </w:rPr>
              <w:t>消除或者限期消除;生产经营单位拒不执行的， 责令停产停业整顿，并处十万元以上五十万元以下的罚款，对其直接负责的主管人员和其他直接责任人员处二万元以上五万元以下的罚</w:t>
            </w:r>
          </w:p>
          <w:p>
            <w:pPr>
              <w:pStyle w:val="7"/>
              <w:spacing w:line="236" w:lineRule="exact"/>
              <w:ind w:left="71" w:right="61"/>
              <w:jc w:val="center"/>
              <w:rPr>
                <w:sz w:val="19"/>
              </w:rPr>
            </w:pPr>
            <w:r>
              <w:rPr>
                <w:color w:val="333333"/>
                <w:sz w:val="19"/>
              </w:rPr>
              <w:t>款。</w:t>
            </w:r>
          </w:p>
        </w:tc>
      </w:tr>
    </w:tbl>
    <w:p>
      <w:pPr>
        <w:spacing w:after="0" w:line="236" w:lineRule="exact"/>
        <w:jc w:val="center"/>
        <w:rPr>
          <w:sz w:val="19"/>
        </w:rPr>
        <w:sectPr>
          <w:pgSz w:w="16840" w:h="11910" w:orient="landscape"/>
          <w:pgMar w:top="1100" w:right="700" w:bottom="1100" w:left="700" w:header="0" w:footer="907"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W w:w="13744" w:type="dxa"/>
        <w:tblInd w:w="7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1843"/>
        <w:gridCol w:w="4371"/>
        <w:gridCol w:w="2606"/>
        <w:gridCol w:w="4107"/>
      </w:tblGrid>
      <w:tr>
        <w:trPr>
          <w:trHeight w:val="533" w:hRule="atLeast"/>
        </w:trPr>
        <w:tc>
          <w:tcPr>
            <w:tcW w:w="817" w:type="dxa"/>
            <w:vAlign w:val="top"/>
          </w:tcPr>
          <w:p>
            <w:pPr>
              <w:pStyle w:val="7"/>
              <w:spacing w:before="136"/>
              <w:ind w:left="146" w:right="138"/>
              <w:jc w:val="center"/>
              <w:rPr>
                <w:rFonts w:hint="eastAsia" w:ascii="黑体" w:eastAsia="黑体"/>
                <w:sz w:val="24"/>
              </w:rPr>
            </w:pPr>
            <w:r>
              <w:rPr>
                <w:rFonts w:hint="eastAsia" w:ascii="黑体" w:eastAsia="黑体"/>
                <w:sz w:val="24"/>
              </w:rPr>
              <w:t>序号</w:t>
            </w:r>
          </w:p>
        </w:tc>
        <w:tc>
          <w:tcPr>
            <w:tcW w:w="1843" w:type="dxa"/>
            <w:vAlign w:val="top"/>
          </w:tcPr>
          <w:p>
            <w:pPr>
              <w:pStyle w:val="7"/>
              <w:spacing w:before="136"/>
              <w:ind w:left="200"/>
              <w:rPr>
                <w:rFonts w:hint="eastAsia" w:ascii="黑体" w:eastAsia="黑体"/>
                <w:sz w:val="24"/>
              </w:rPr>
            </w:pPr>
            <w:r>
              <w:rPr>
                <w:rFonts w:hint="eastAsia" w:ascii="黑体" w:eastAsia="黑体"/>
                <w:sz w:val="24"/>
              </w:rPr>
              <w:t>违法行为描述</w:t>
            </w:r>
          </w:p>
        </w:tc>
        <w:tc>
          <w:tcPr>
            <w:tcW w:w="4371" w:type="dxa"/>
            <w:vAlign w:val="top"/>
          </w:tcPr>
          <w:p>
            <w:pPr>
              <w:pStyle w:val="7"/>
              <w:spacing w:before="136"/>
              <w:ind w:left="1685" w:right="1675"/>
              <w:jc w:val="center"/>
              <w:rPr>
                <w:rFonts w:hint="eastAsia" w:ascii="黑体" w:eastAsia="黑体"/>
                <w:sz w:val="24"/>
              </w:rPr>
            </w:pPr>
            <w:r>
              <w:rPr>
                <w:rFonts w:hint="eastAsia" w:ascii="黑体" w:eastAsia="黑体"/>
                <w:sz w:val="24"/>
              </w:rPr>
              <w:t>执法依据</w:t>
            </w:r>
          </w:p>
        </w:tc>
        <w:tc>
          <w:tcPr>
            <w:tcW w:w="2606" w:type="dxa"/>
            <w:vAlign w:val="top"/>
          </w:tcPr>
          <w:p>
            <w:pPr>
              <w:pStyle w:val="7"/>
              <w:spacing w:before="136"/>
              <w:ind w:left="821"/>
              <w:rPr>
                <w:rFonts w:hint="eastAsia" w:ascii="黑体" w:eastAsia="黑体"/>
                <w:sz w:val="24"/>
              </w:rPr>
            </w:pPr>
            <w:r>
              <w:rPr>
                <w:rFonts w:hint="eastAsia" w:ascii="黑体" w:eastAsia="黑体"/>
                <w:sz w:val="24"/>
              </w:rPr>
              <w:t>检查方式</w:t>
            </w:r>
          </w:p>
        </w:tc>
        <w:tc>
          <w:tcPr>
            <w:tcW w:w="4107" w:type="dxa"/>
            <w:vAlign w:val="top"/>
          </w:tcPr>
          <w:p>
            <w:pPr>
              <w:pStyle w:val="7"/>
              <w:spacing w:before="136"/>
              <w:ind w:left="70" w:right="61"/>
              <w:jc w:val="center"/>
              <w:rPr>
                <w:rFonts w:hint="eastAsia" w:ascii="黑体" w:eastAsia="黑体"/>
                <w:sz w:val="24"/>
              </w:rPr>
            </w:pPr>
            <w:r>
              <w:rPr>
                <w:rFonts w:hint="eastAsia" w:ascii="黑体" w:eastAsia="黑体"/>
                <w:sz w:val="24"/>
              </w:rPr>
              <w:t>处罚依据</w:t>
            </w:r>
          </w:p>
        </w:tc>
      </w:tr>
      <w:tr>
        <w:trPr>
          <w:trHeight w:val="6966" w:hRule="atLeast"/>
        </w:trPr>
        <w:tc>
          <w:tcPr>
            <w:tcW w:w="817"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149"/>
              <w:ind w:left="7"/>
              <w:jc w:val="center"/>
              <w:rPr>
                <w:sz w:val="21"/>
              </w:rPr>
            </w:pPr>
            <w:r>
              <w:rPr>
                <w:w w:val="99"/>
                <w:sz w:val="21"/>
              </w:rPr>
              <w:t>8</w:t>
            </w:r>
          </w:p>
        </w:tc>
        <w:tc>
          <w:tcPr>
            <w:tcW w:w="1843"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2"/>
              <w:rPr>
                <w:rFonts w:ascii="Times New Roman"/>
                <w:sz w:val="25"/>
              </w:rPr>
            </w:pPr>
          </w:p>
          <w:p>
            <w:pPr>
              <w:pStyle w:val="7"/>
              <w:spacing w:before="1" w:line="285" w:lineRule="auto"/>
              <w:ind w:left="186" w:right="175"/>
              <w:jc w:val="center"/>
              <w:rPr>
                <w:sz w:val="21"/>
              </w:rPr>
            </w:pPr>
            <w:r>
              <w:rPr>
                <w:sz w:val="21"/>
              </w:rPr>
              <w:t>未按规定落实精细化工反应安全风险评估</w:t>
            </w:r>
          </w:p>
        </w:tc>
        <w:tc>
          <w:tcPr>
            <w:tcW w:w="4371" w:type="dxa"/>
            <w:vAlign w:val="top"/>
          </w:tcPr>
          <w:p>
            <w:pPr>
              <w:pStyle w:val="7"/>
              <w:rPr>
                <w:rFonts w:ascii="Times New Roman"/>
                <w:sz w:val="20"/>
              </w:rPr>
            </w:pPr>
          </w:p>
          <w:p>
            <w:pPr>
              <w:pStyle w:val="7"/>
              <w:spacing w:before="137" w:line="285" w:lineRule="auto"/>
              <w:ind w:left="107" w:right="-15"/>
              <w:rPr>
                <w:sz w:val="21"/>
              </w:rPr>
            </w:pPr>
            <w:r>
              <w:rPr>
                <w:spacing w:val="-3"/>
                <w:sz w:val="21"/>
              </w:rPr>
              <w:t>【规范性文件】</w:t>
            </w:r>
            <w:r>
              <w:rPr>
                <w:sz w:val="21"/>
              </w:rPr>
              <w:t>（一</w:t>
            </w:r>
            <w:r>
              <w:rPr>
                <w:spacing w:val="-22"/>
                <w:sz w:val="21"/>
              </w:rPr>
              <w:t>）</w:t>
            </w:r>
            <w:r>
              <w:rPr>
                <w:sz w:val="21"/>
              </w:rPr>
              <w:t>《危险化学品安全专项</w:t>
            </w:r>
            <w:r>
              <w:rPr>
                <w:spacing w:val="-5"/>
                <w:sz w:val="21"/>
              </w:rPr>
              <w:t>整治三年行动实施方案》</w:t>
            </w:r>
            <w:r>
              <w:rPr>
                <w:sz w:val="21"/>
              </w:rPr>
              <w:t>（</w:t>
            </w:r>
            <w:r>
              <w:rPr>
                <w:spacing w:val="-9"/>
                <w:sz w:val="21"/>
              </w:rPr>
              <w:t>安委〔</w:t>
            </w:r>
            <w:r>
              <w:rPr>
                <w:sz w:val="21"/>
              </w:rPr>
              <w:t>2020</w:t>
            </w:r>
            <w:r>
              <w:rPr>
                <w:spacing w:val="-22"/>
                <w:sz w:val="21"/>
              </w:rPr>
              <w:t>〕</w:t>
            </w:r>
            <w:r>
              <w:rPr>
                <w:sz w:val="21"/>
              </w:rPr>
              <w:t>3</w:t>
            </w:r>
            <w:r>
              <w:rPr>
                <w:spacing w:val="-30"/>
                <w:sz w:val="21"/>
              </w:rPr>
              <w:t xml:space="preserve"> 号</w:t>
            </w:r>
            <w:r>
              <w:rPr>
                <w:sz w:val="21"/>
              </w:rPr>
              <w:t xml:space="preserve">） </w:t>
            </w:r>
            <w:r>
              <w:rPr>
                <w:spacing w:val="-7"/>
                <w:sz w:val="21"/>
              </w:rPr>
              <w:t>第二条。凡列入精细化工反应安全风险评估范</w:t>
            </w:r>
            <w:r>
              <w:rPr>
                <w:spacing w:val="-10"/>
                <w:sz w:val="21"/>
              </w:rPr>
              <w:t>围但未开展评估的精细化工生产装置，一律不得生产。</w:t>
            </w:r>
          </w:p>
          <w:p>
            <w:pPr>
              <w:pStyle w:val="7"/>
              <w:spacing w:line="285" w:lineRule="auto"/>
              <w:ind w:left="107" w:right="97"/>
              <w:rPr>
                <w:sz w:val="21"/>
              </w:rPr>
            </w:pPr>
            <w:r>
              <w:rPr>
                <w:w w:val="95"/>
                <w:sz w:val="21"/>
              </w:rPr>
              <w:t>（二</w:t>
            </w:r>
            <w:r>
              <w:rPr>
                <w:spacing w:val="-44"/>
                <w:w w:val="95"/>
                <w:sz w:val="21"/>
              </w:rPr>
              <w:t>）</w:t>
            </w:r>
            <w:r>
              <w:rPr>
                <w:w w:val="95"/>
                <w:sz w:val="21"/>
              </w:rPr>
              <w:t xml:space="preserve">《国家安全监管总局关于加强精细化工 </w:t>
            </w:r>
            <w:r>
              <w:rPr>
                <w:spacing w:val="-3"/>
                <w:w w:val="95"/>
                <w:sz w:val="21"/>
              </w:rPr>
              <w:t>反应安全风险评估工作的指导意见》</w:t>
            </w:r>
            <w:r>
              <w:rPr>
                <w:w w:val="95"/>
                <w:sz w:val="21"/>
              </w:rPr>
              <w:t xml:space="preserve">（安监总 </w:t>
            </w:r>
            <w:r>
              <w:rPr>
                <w:sz w:val="21"/>
              </w:rPr>
              <w:t>管三〔2017〕1</w:t>
            </w:r>
            <w:r>
              <w:rPr>
                <w:spacing w:val="-30"/>
                <w:sz w:val="21"/>
              </w:rPr>
              <w:t xml:space="preserve"> 号</w:t>
            </w:r>
            <w:r>
              <w:rPr>
                <w:sz w:val="21"/>
              </w:rPr>
              <w:t>）（一）企业中涉及重点监</w:t>
            </w:r>
            <w:r>
              <w:rPr>
                <w:spacing w:val="-3"/>
                <w:w w:val="95"/>
                <w:sz w:val="21"/>
              </w:rPr>
              <w:t>管危险化工工艺和金属有机物合成反应</w:t>
            </w:r>
            <w:r>
              <w:rPr>
                <w:w w:val="95"/>
                <w:sz w:val="21"/>
              </w:rPr>
              <w:t>（包括 格氏反应</w:t>
            </w:r>
            <w:r>
              <w:rPr>
                <w:spacing w:val="-22"/>
                <w:w w:val="95"/>
                <w:sz w:val="21"/>
              </w:rPr>
              <w:t>）</w:t>
            </w:r>
            <w:r>
              <w:rPr>
                <w:spacing w:val="-3"/>
                <w:w w:val="95"/>
                <w:sz w:val="21"/>
              </w:rPr>
              <w:t xml:space="preserve">的间歇和半间歇反应，有以下情形 </w:t>
            </w:r>
            <w:r>
              <w:rPr>
                <w:spacing w:val="-7"/>
                <w:w w:val="95"/>
                <w:sz w:val="21"/>
              </w:rPr>
              <w:t>之一的，要开展反应安全风险评估：1.</w:t>
            </w:r>
            <w:r>
              <w:rPr>
                <w:w w:val="95"/>
                <w:sz w:val="21"/>
              </w:rPr>
              <w:t xml:space="preserve">国内首 </w:t>
            </w:r>
            <w:r>
              <w:rPr>
                <w:spacing w:val="-6"/>
                <w:w w:val="95"/>
                <w:sz w:val="21"/>
              </w:rPr>
              <w:t xml:space="preserve">次使用的新工艺、新配方投入工业化生产的以 </w:t>
            </w:r>
            <w:r>
              <w:rPr>
                <w:spacing w:val="-6"/>
                <w:sz w:val="21"/>
              </w:rPr>
              <w:t>及国外首次引进的新工艺且未进行过反应安</w:t>
            </w:r>
            <w:r>
              <w:rPr>
                <w:spacing w:val="-7"/>
                <w:w w:val="95"/>
                <w:sz w:val="21"/>
              </w:rPr>
              <w:t>全风险评估的；2.</w:t>
            </w:r>
            <w:r>
              <w:rPr>
                <w:spacing w:val="-3"/>
                <w:w w:val="95"/>
                <w:sz w:val="21"/>
              </w:rPr>
              <w:t xml:space="preserve">现有的工艺路线、工艺参数 </w:t>
            </w:r>
            <w:r>
              <w:rPr>
                <w:spacing w:val="-8"/>
                <w:w w:val="95"/>
                <w:sz w:val="21"/>
              </w:rPr>
              <w:t>或装置能力发生变更，且没有反应安全风险评 估报告的；</w:t>
            </w:r>
            <w:r>
              <w:rPr>
                <w:spacing w:val="-7"/>
                <w:w w:val="95"/>
                <w:sz w:val="21"/>
              </w:rPr>
              <w:t>3.</w:t>
            </w:r>
            <w:r>
              <w:rPr>
                <w:spacing w:val="-3"/>
                <w:w w:val="95"/>
                <w:sz w:val="21"/>
              </w:rPr>
              <w:t xml:space="preserve">因反应工艺问题，发生过生产安 </w:t>
            </w:r>
            <w:r>
              <w:rPr>
                <w:spacing w:val="-3"/>
                <w:sz w:val="21"/>
              </w:rPr>
              <w:t>全事故的。</w:t>
            </w:r>
          </w:p>
        </w:tc>
        <w:tc>
          <w:tcPr>
            <w:tcW w:w="2606" w:type="dxa"/>
            <w:vAlign w:val="top"/>
          </w:tcPr>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6"/>
              <w:rPr>
                <w:rFonts w:ascii="Times New Roman"/>
                <w:sz w:val="29"/>
              </w:rPr>
            </w:pPr>
          </w:p>
          <w:p>
            <w:pPr>
              <w:pStyle w:val="7"/>
              <w:spacing w:line="285" w:lineRule="auto"/>
              <w:ind w:left="147" w:right="137"/>
              <w:jc w:val="center"/>
              <w:rPr>
                <w:sz w:val="21"/>
              </w:rPr>
            </w:pPr>
            <w:r>
              <w:rPr>
                <w:sz w:val="21"/>
              </w:rPr>
              <w:t>查阅资料：查阅查阅《精细化工反应安全风险评估报告》</w:t>
            </w:r>
          </w:p>
          <w:p>
            <w:pPr>
              <w:pStyle w:val="7"/>
              <w:spacing w:line="285" w:lineRule="auto"/>
              <w:ind w:left="106" w:right="99" w:firstLine="2"/>
              <w:jc w:val="center"/>
              <w:rPr>
                <w:sz w:val="21"/>
              </w:rPr>
            </w:pPr>
            <w:r>
              <w:rPr>
                <w:sz w:val="21"/>
              </w:rPr>
              <w:t>现场检查：检查企业是否</w:t>
            </w:r>
            <w:r>
              <w:rPr>
                <w:spacing w:val="-7"/>
                <w:sz w:val="21"/>
              </w:rPr>
              <w:t>落实 《精细化工反应安全</w:t>
            </w:r>
            <w:r>
              <w:rPr>
                <w:sz w:val="21"/>
              </w:rPr>
              <w:t>风险评估报告》中提出的安全对策措施</w:t>
            </w:r>
          </w:p>
        </w:tc>
        <w:tc>
          <w:tcPr>
            <w:tcW w:w="4107" w:type="dxa"/>
            <w:vAlign w:val="top"/>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32" w:line="314" w:lineRule="auto"/>
              <w:ind w:left="106" w:right="92" w:hanging="3"/>
              <w:jc w:val="center"/>
              <w:rPr>
                <w:sz w:val="19"/>
              </w:rPr>
            </w:pPr>
            <w:r>
              <w:rPr>
                <w:spacing w:val="-6"/>
                <w:sz w:val="21"/>
              </w:rPr>
              <w:t>【法律】《安全生产法》</w:t>
            </w:r>
            <w:r>
              <w:rPr>
                <w:color w:val="333333"/>
                <w:spacing w:val="-2"/>
                <w:sz w:val="19"/>
              </w:rPr>
              <w:t>第九十九条 生产经营单位未采取措施消除事故隐患的，责令立即</w:t>
            </w:r>
            <w:r>
              <w:rPr>
                <w:color w:val="333333"/>
                <w:spacing w:val="-1"/>
                <w:sz w:val="19"/>
              </w:rPr>
              <w:t>消除或者限期消除;生产经营单位拒不执行的， 责令停产停业整顿，并处十万元以上五十万元以下的罚款，对其直接负责的主管人员和其他直接责任人员处二万元以上五万元以下的罚</w:t>
            </w:r>
          </w:p>
          <w:p>
            <w:pPr>
              <w:pStyle w:val="7"/>
              <w:spacing w:line="236" w:lineRule="exact"/>
              <w:ind w:left="71" w:right="61"/>
              <w:jc w:val="center"/>
              <w:rPr>
                <w:sz w:val="19"/>
              </w:rPr>
            </w:pPr>
            <w:r>
              <w:rPr>
                <w:color w:val="333333"/>
                <w:sz w:val="19"/>
              </w:rPr>
              <w:t>款。</w:t>
            </w:r>
          </w:p>
        </w:tc>
      </w:tr>
    </w:tbl>
    <w:p/>
    <w:sectPr>
      <w:pgSz w:w="16840" w:h="11910" w:orient="landscape"/>
      <w:pgMar w:top="1100" w:right="700" w:bottom="1100" w:left="700" w:header="0" w:footer="90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spacing w:line="14" w:lineRule="auto"/>
      <w:rPr>
        <w:sz w:val="20"/>
      </w:rPr>
    </w:pPr>
    <w:r>
      <w:rPr>
        <w:rFonts w:ascii="宋体" w:hAnsi="宋体" w:eastAsia="宋体" w:cs="宋体"/>
        <w:sz w:val="32"/>
        <w:szCs w:val="32"/>
        <w:lang w:val="zh-CN" w:eastAsia="zh-CN" w:bidi="zh-CN"/>
      </w:rPr>
      <w:pict>
        <v:shape id="文本框 1025" o:spid="_x0000_s1025" type="#_x0000_t202" style="position:absolute;left:0;margin-left:404.95pt;margin-top:534.95pt;height:15.3pt;width:32pt;mso-position-horizontal-relative:page;mso-position-vertical-relative:pag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0" w:line="304" w:lineRule="exact"/>
                  <w:ind w:left="20" w:right="0" w:firstLine="0"/>
                  <w:jc w:val="left"/>
                  <w:rPr>
                    <w:sz w:val="24"/>
                  </w:rPr>
                </w:pPr>
                <w:r>
                  <w:rPr>
                    <w:sz w:val="24"/>
                  </w:rPr>
                  <w:t>—</w:t>
                </w:r>
                <w:r>
                  <w:fldChar w:fldCharType="begin"/>
                </w:r>
                <w:r>
                  <w:rPr>
                    <w:rFonts w:ascii="Times New Roman" w:hAnsi="Times New Roman"/>
                    <w:sz w:val="24"/>
                  </w:rPr>
                  <w:instrText xml:space="preserve"> PAGE </w:instrText>
                </w:r>
                <w:r>
                  <w:fldChar w:fldCharType="separate"/>
                </w:r>
                <w:r>
                  <w:t>1</w:t>
                </w:r>
                <w:r>
                  <w:fldChar w:fldCharType="end"/>
                </w:r>
                <w:r>
                  <w:rPr>
                    <w:sz w:val="24"/>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spacing w:line="14" w:lineRule="auto"/>
      <w:rPr>
        <w:sz w:val="20"/>
      </w:rPr>
    </w:pPr>
    <w:r>
      <w:rPr>
        <w:rFonts w:ascii="宋体" w:hAnsi="宋体" w:eastAsia="宋体" w:cs="宋体"/>
        <w:sz w:val="32"/>
        <w:szCs w:val="32"/>
        <w:lang w:val="zh-CN" w:eastAsia="zh-CN" w:bidi="zh-CN"/>
      </w:rPr>
      <w:pict>
        <v:shape id="文本框 1026" o:spid="_x0000_s1026" type="#_x0000_t202" style="position:absolute;left:0;margin-left:401.95pt;margin-top:534.95pt;height:15.3pt;width:38pt;mso-position-horizontal-relative:page;mso-position-vertical-relative:page;rotation:0f;z-index:-25165721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0" w:line="304" w:lineRule="exact"/>
                  <w:ind w:left="20" w:right="0" w:firstLine="0"/>
                  <w:jc w:val="left"/>
                  <w:rPr>
                    <w:sz w:val="24"/>
                  </w:rPr>
                </w:pPr>
                <w:r>
                  <w:rPr>
                    <w:sz w:val="24"/>
                  </w:rPr>
                  <w:t>—</w:t>
                </w:r>
                <w:r>
                  <w:fldChar w:fldCharType="begin"/>
                </w:r>
                <w:r>
                  <w:rPr>
                    <w:rFonts w:ascii="Times New Roman" w:hAnsi="Times New Roman"/>
                    <w:sz w:val="24"/>
                  </w:rPr>
                  <w:instrText xml:space="preserve"> PAGE </w:instrText>
                </w:r>
                <w:r>
                  <w:fldChar w:fldCharType="separate"/>
                </w:r>
                <w:r>
                  <w:t>10</w:t>
                </w:r>
                <w:r>
                  <w:fldChar w:fldCharType="end"/>
                </w:r>
                <w:r>
                  <w:rPr>
                    <w:sz w:val="24"/>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spacing w:line="14" w:lineRule="auto"/>
      <w:rPr>
        <w:sz w:val="20"/>
      </w:rPr>
    </w:pPr>
    <w:r>
      <w:rPr>
        <w:rFonts w:ascii="宋体" w:hAnsi="宋体" w:eastAsia="宋体" w:cs="宋体"/>
        <w:sz w:val="32"/>
        <w:szCs w:val="32"/>
        <w:lang w:val="zh-CN" w:eastAsia="zh-CN" w:bidi="zh-CN"/>
      </w:rPr>
      <w:pict>
        <v:shape id="文本框 1027" o:spid="_x0000_s1027" type="#_x0000_t202" style="position:absolute;left:0;margin-left:401.95pt;margin-top:534.95pt;height:15.3pt;width:38pt;mso-position-horizontal-relative:page;mso-position-vertical-relative:page;rotation:0f;z-index:-25165619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0" w:line="304" w:lineRule="exact"/>
                  <w:ind w:left="20" w:right="0" w:firstLine="0"/>
                  <w:jc w:val="left"/>
                  <w:rPr>
                    <w:sz w:val="24"/>
                  </w:rPr>
                </w:pPr>
                <w:r>
                  <w:rPr>
                    <w:sz w:val="24"/>
                  </w:rPr>
                  <w:t>—</w:t>
                </w:r>
                <w:r>
                  <w:fldChar w:fldCharType="begin"/>
                </w:r>
                <w:r>
                  <w:rPr>
                    <w:rFonts w:ascii="Times New Roman" w:hAnsi="Times New Roman"/>
                    <w:sz w:val="24"/>
                  </w:rPr>
                  <w:instrText xml:space="preserve"> PAGE </w:instrText>
                </w:r>
                <w:r>
                  <w:fldChar w:fldCharType="separate"/>
                </w:r>
                <w:r>
                  <w:t>20</w:t>
                </w:r>
                <w:r>
                  <w:fldChar w:fldCharType="end"/>
                </w:r>
                <w:r>
                  <w:rPr>
                    <w:sz w:val="24"/>
                  </w:rPr>
                  <w:t>—</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spacing w:line="14" w:lineRule="auto"/>
      <w:rPr>
        <w:sz w:val="19"/>
      </w:rPr>
    </w:pPr>
    <w:r>
      <w:rPr>
        <w:rFonts w:ascii="宋体" w:hAnsi="宋体" w:eastAsia="宋体" w:cs="宋体"/>
        <w:sz w:val="32"/>
        <w:szCs w:val="32"/>
        <w:lang w:val="zh-CN" w:eastAsia="zh-CN" w:bidi="zh-CN"/>
      </w:rPr>
      <w:pict>
        <v:shape id="文本框 1028" o:spid="_x0000_s1028" type="#_x0000_t202" style="position:absolute;left:0;margin-left:401.95pt;margin-top:534.95pt;height:15.3pt;width:38pt;mso-position-horizontal-relative:page;mso-position-vertical-relative:page;rotation:0f;z-index:-25165516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0" w:line="304" w:lineRule="exact"/>
                  <w:ind w:left="20" w:right="0" w:firstLine="0"/>
                  <w:jc w:val="left"/>
                  <w:rPr>
                    <w:sz w:val="24"/>
                  </w:rPr>
                </w:pPr>
                <w:r>
                  <w:rPr>
                    <w:sz w:val="24"/>
                  </w:rPr>
                  <w:t>—</w:t>
                </w:r>
                <w:r>
                  <w:fldChar w:fldCharType="begin"/>
                </w:r>
                <w:r>
                  <w:rPr>
                    <w:rFonts w:ascii="Times New Roman" w:hAnsi="Times New Roman"/>
                    <w:sz w:val="24"/>
                  </w:rPr>
                  <w:instrText xml:space="preserve"> PAGE </w:instrText>
                </w:r>
                <w:r>
                  <w:fldChar w:fldCharType="separate"/>
                </w:r>
                <w:r>
                  <w:t>31</w:t>
                </w:r>
                <w:r>
                  <w:fldChar w:fldCharType="end"/>
                </w:r>
                <w:r>
                  <w:rPr>
                    <w:sz w:val="24"/>
                  </w:rPr>
                  <w:t>—</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spacing w:line="14" w:lineRule="auto"/>
      <w:rPr>
        <w:sz w:val="20"/>
      </w:rPr>
    </w:pPr>
    <w:r>
      <w:rPr>
        <w:rFonts w:ascii="宋体" w:hAnsi="宋体" w:eastAsia="宋体" w:cs="宋体"/>
        <w:sz w:val="32"/>
        <w:szCs w:val="32"/>
        <w:lang w:val="zh-CN" w:eastAsia="zh-CN" w:bidi="zh-CN"/>
      </w:rPr>
      <w:pict>
        <v:shape id="文本框 1029" o:spid="_x0000_s1029" type="#_x0000_t202" style="position:absolute;left:0;margin-left:401.95pt;margin-top:534.95pt;height:15.3pt;width:38pt;mso-position-horizontal-relative:page;mso-position-vertical-relative:page;rotation:0f;z-index:-25165414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0" w:line="304" w:lineRule="exact"/>
                  <w:ind w:left="20" w:right="0" w:firstLine="0"/>
                  <w:jc w:val="left"/>
                  <w:rPr>
                    <w:sz w:val="24"/>
                  </w:rPr>
                </w:pPr>
                <w:r>
                  <w:rPr>
                    <w:sz w:val="24"/>
                  </w:rPr>
                  <w:t>—</w:t>
                </w:r>
                <w:r>
                  <w:fldChar w:fldCharType="begin"/>
                </w:r>
                <w:r>
                  <w:rPr>
                    <w:rFonts w:ascii="Times New Roman" w:hAnsi="Times New Roman"/>
                    <w:sz w:val="24"/>
                  </w:rPr>
                  <w:instrText xml:space="preserve"> PAGE </w:instrText>
                </w:r>
                <w:r>
                  <w:fldChar w:fldCharType="separate"/>
                </w:r>
                <w:r>
                  <w:t>40</w:t>
                </w:r>
                <w:r>
                  <w:fldChar w:fldCharType="end"/>
                </w:r>
                <w:r>
                  <w:rPr>
                    <w:sz w:val="24"/>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4">
    <w:nsid w:val="00000018"/>
    <w:multiLevelType w:val="multilevel"/>
    <w:tmpl w:val="00000018"/>
    <w:lvl w:ilvl="0" w:tentative="1">
      <w:start w:val="1"/>
      <w:numFmt w:val="decimal"/>
      <w:lvlText w:val="%1."/>
      <w:lvlJc w:val="left"/>
      <w:pPr>
        <w:ind w:left="107" w:hanging="315"/>
      </w:pPr>
      <w:rPr>
        <w:rFonts w:hint="default" w:ascii="宋体" w:hAnsi="宋体" w:eastAsia="宋体" w:cs="宋体"/>
        <w:color w:val="333333"/>
        <w:spacing w:val="0"/>
        <w:w w:val="99"/>
        <w:sz w:val="21"/>
        <w:szCs w:val="21"/>
        <w:lang w:val="zh-CN" w:eastAsia="zh-CN" w:bidi="zh-CN"/>
      </w:rPr>
    </w:lvl>
    <w:lvl w:ilvl="1" w:tentative="1">
      <w:start w:val="0"/>
      <w:numFmt w:val="bullet"/>
      <w:lvlText w:val="•"/>
      <w:lvlJc w:val="left"/>
      <w:pPr>
        <w:ind w:left="526" w:hanging="315"/>
      </w:pPr>
      <w:rPr>
        <w:rFonts w:hint="default"/>
        <w:lang w:val="zh-CN" w:eastAsia="zh-CN" w:bidi="zh-CN"/>
      </w:rPr>
    </w:lvl>
    <w:lvl w:ilvl="2" w:tentative="1">
      <w:start w:val="0"/>
      <w:numFmt w:val="bullet"/>
      <w:lvlText w:val="•"/>
      <w:lvlJc w:val="left"/>
      <w:pPr>
        <w:ind w:left="952" w:hanging="315"/>
      </w:pPr>
      <w:rPr>
        <w:rFonts w:hint="default"/>
        <w:lang w:val="zh-CN" w:eastAsia="zh-CN" w:bidi="zh-CN"/>
      </w:rPr>
    </w:lvl>
    <w:lvl w:ilvl="3" w:tentative="1">
      <w:start w:val="0"/>
      <w:numFmt w:val="bullet"/>
      <w:lvlText w:val="•"/>
      <w:lvlJc w:val="left"/>
      <w:pPr>
        <w:ind w:left="1378" w:hanging="315"/>
      </w:pPr>
      <w:rPr>
        <w:rFonts w:hint="default"/>
        <w:lang w:val="zh-CN" w:eastAsia="zh-CN" w:bidi="zh-CN"/>
      </w:rPr>
    </w:lvl>
    <w:lvl w:ilvl="4" w:tentative="1">
      <w:start w:val="0"/>
      <w:numFmt w:val="bullet"/>
      <w:lvlText w:val="•"/>
      <w:lvlJc w:val="left"/>
      <w:pPr>
        <w:ind w:left="1804" w:hanging="315"/>
      </w:pPr>
      <w:rPr>
        <w:rFonts w:hint="default"/>
        <w:lang w:val="zh-CN" w:eastAsia="zh-CN" w:bidi="zh-CN"/>
      </w:rPr>
    </w:lvl>
    <w:lvl w:ilvl="5" w:tentative="1">
      <w:start w:val="0"/>
      <w:numFmt w:val="bullet"/>
      <w:lvlText w:val="•"/>
      <w:lvlJc w:val="left"/>
      <w:pPr>
        <w:ind w:left="2230" w:hanging="315"/>
      </w:pPr>
      <w:rPr>
        <w:rFonts w:hint="default"/>
        <w:lang w:val="zh-CN" w:eastAsia="zh-CN" w:bidi="zh-CN"/>
      </w:rPr>
    </w:lvl>
    <w:lvl w:ilvl="6" w:tentative="1">
      <w:start w:val="0"/>
      <w:numFmt w:val="bullet"/>
      <w:lvlText w:val="•"/>
      <w:lvlJc w:val="left"/>
      <w:pPr>
        <w:ind w:left="2656" w:hanging="315"/>
      </w:pPr>
      <w:rPr>
        <w:rFonts w:hint="default"/>
        <w:lang w:val="zh-CN" w:eastAsia="zh-CN" w:bidi="zh-CN"/>
      </w:rPr>
    </w:lvl>
    <w:lvl w:ilvl="7" w:tentative="1">
      <w:start w:val="0"/>
      <w:numFmt w:val="bullet"/>
      <w:lvlText w:val="•"/>
      <w:lvlJc w:val="left"/>
      <w:pPr>
        <w:ind w:left="3082" w:hanging="315"/>
      </w:pPr>
      <w:rPr>
        <w:rFonts w:hint="default"/>
        <w:lang w:val="zh-CN" w:eastAsia="zh-CN" w:bidi="zh-CN"/>
      </w:rPr>
    </w:lvl>
    <w:lvl w:ilvl="8" w:tentative="1">
      <w:start w:val="0"/>
      <w:numFmt w:val="bullet"/>
      <w:lvlText w:val="•"/>
      <w:lvlJc w:val="left"/>
      <w:pPr>
        <w:ind w:left="3508" w:hanging="315"/>
      </w:pPr>
      <w:rPr>
        <w:rFonts w:hint="default"/>
        <w:lang w:val="zh-CN" w:eastAsia="zh-CN" w:bidi="zh-CN"/>
      </w:rPr>
    </w:lvl>
  </w:abstractNum>
  <w:abstractNum w:abstractNumId="33">
    <w:nsid w:val="00000021"/>
    <w:multiLevelType w:val="multilevel"/>
    <w:tmpl w:val="00000021"/>
    <w:lvl w:ilvl="0" w:tentative="1">
      <w:start w:val="1"/>
      <w:numFmt w:val="decimal"/>
      <w:lvlText w:val="%1."/>
      <w:lvlJc w:val="left"/>
      <w:pPr>
        <w:ind w:left="108" w:hanging="243"/>
      </w:pPr>
      <w:rPr>
        <w:rFonts w:hint="default" w:ascii="宋体" w:hAnsi="宋体" w:eastAsia="宋体" w:cs="宋体"/>
        <w:w w:val="100"/>
        <w:sz w:val="22"/>
        <w:szCs w:val="22"/>
        <w:lang w:val="zh-CN" w:eastAsia="zh-CN" w:bidi="zh-CN"/>
      </w:rPr>
    </w:lvl>
    <w:lvl w:ilvl="1" w:tentative="1">
      <w:start w:val="0"/>
      <w:numFmt w:val="bullet"/>
      <w:lvlText w:val="•"/>
      <w:lvlJc w:val="left"/>
      <w:pPr>
        <w:ind w:left="548" w:hanging="243"/>
      </w:pPr>
      <w:rPr>
        <w:rFonts w:hint="default"/>
        <w:lang w:val="zh-CN" w:eastAsia="zh-CN" w:bidi="zh-CN"/>
      </w:rPr>
    </w:lvl>
    <w:lvl w:ilvl="2" w:tentative="1">
      <w:start w:val="0"/>
      <w:numFmt w:val="bullet"/>
      <w:lvlText w:val="•"/>
      <w:lvlJc w:val="left"/>
      <w:pPr>
        <w:ind w:left="997" w:hanging="243"/>
      </w:pPr>
      <w:rPr>
        <w:rFonts w:hint="default"/>
        <w:lang w:val="zh-CN" w:eastAsia="zh-CN" w:bidi="zh-CN"/>
      </w:rPr>
    </w:lvl>
    <w:lvl w:ilvl="3" w:tentative="1">
      <w:start w:val="0"/>
      <w:numFmt w:val="bullet"/>
      <w:lvlText w:val="•"/>
      <w:lvlJc w:val="left"/>
      <w:pPr>
        <w:ind w:left="1446" w:hanging="243"/>
      </w:pPr>
      <w:rPr>
        <w:rFonts w:hint="default"/>
        <w:lang w:val="zh-CN" w:eastAsia="zh-CN" w:bidi="zh-CN"/>
      </w:rPr>
    </w:lvl>
    <w:lvl w:ilvl="4" w:tentative="1">
      <w:start w:val="0"/>
      <w:numFmt w:val="bullet"/>
      <w:lvlText w:val="•"/>
      <w:lvlJc w:val="left"/>
      <w:pPr>
        <w:ind w:left="1895" w:hanging="243"/>
      </w:pPr>
      <w:rPr>
        <w:rFonts w:hint="default"/>
        <w:lang w:val="zh-CN" w:eastAsia="zh-CN" w:bidi="zh-CN"/>
      </w:rPr>
    </w:lvl>
    <w:lvl w:ilvl="5" w:tentative="1">
      <w:start w:val="0"/>
      <w:numFmt w:val="bullet"/>
      <w:lvlText w:val="•"/>
      <w:lvlJc w:val="left"/>
      <w:pPr>
        <w:ind w:left="2344" w:hanging="243"/>
      </w:pPr>
      <w:rPr>
        <w:rFonts w:hint="default"/>
        <w:lang w:val="zh-CN" w:eastAsia="zh-CN" w:bidi="zh-CN"/>
      </w:rPr>
    </w:lvl>
    <w:lvl w:ilvl="6" w:tentative="1">
      <w:start w:val="0"/>
      <w:numFmt w:val="bullet"/>
      <w:lvlText w:val="•"/>
      <w:lvlJc w:val="left"/>
      <w:pPr>
        <w:ind w:left="2793" w:hanging="243"/>
      </w:pPr>
      <w:rPr>
        <w:rFonts w:hint="default"/>
        <w:lang w:val="zh-CN" w:eastAsia="zh-CN" w:bidi="zh-CN"/>
      </w:rPr>
    </w:lvl>
    <w:lvl w:ilvl="7" w:tentative="1">
      <w:start w:val="0"/>
      <w:numFmt w:val="bullet"/>
      <w:lvlText w:val="•"/>
      <w:lvlJc w:val="left"/>
      <w:pPr>
        <w:ind w:left="3242" w:hanging="243"/>
      </w:pPr>
      <w:rPr>
        <w:rFonts w:hint="default"/>
        <w:lang w:val="zh-CN" w:eastAsia="zh-CN" w:bidi="zh-CN"/>
      </w:rPr>
    </w:lvl>
    <w:lvl w:ilvl="8" w:tentative="1">
      <w:start w:val="0"/>
      <w:numFmt w:val="bullet"/>
      <w:lvlText w:val="•"/>
      <w:lvlJc w:val="left"/>
      <w:pPr>
        <w:ind w:left="3691" w:hanging="243"/>
      </w:pPr>
      <w:rPr>
        <w:rFonts w:hint="default"/>
        <w:lang w:val="zh-CN" w:eastAsia="zh-CN" w:bidi="zh-CN"/>
      </w:rPr>
    </w:lvl>
  </w:abstractNum>
  <w:abstractNum w:abstractNumId="34">
    <w:nsid w:val="00000022"/>
    <w:multiLevelType w:val="multilevel"/>
    <w:tmpl w:val="00000022"/>
    <w:lvl w:ilvl="0" w:tentative="1">
      <w:start w:val="1"/>
      <w:numFmt w:val="decimal"/>
      <w:lvlText w:val="%1."/>
      <w:lvlJc w:val="left"/>
      <w:pPr>
        <w:ind w:left="108" w:hanging="243"/>
      </w:pPr>
      <w:rPr>
        <w:rFonts w:hint="default" w:ascii="宋体" w:hAnsi="宋体" w:eastAsia="宋体" w:cs="宋体"/>
        <w:w w:val="100"/>
        <w:sz w:val="22"/>
        <w:szCs w:val="22"/>
        <w:lang w:val="zh-CN" w:eastAsia="zh-CN" w:bidi="zh-CN"/>
      </w:rPr>
    </w:lvl>
    <w:lvl w:ilvl="1" w:tentative="1">
      <w:start w:val="0"/>
      <w:numFmt w:val="bullet"/>
      <w:lvlText w:val="•"/>
      <w:lvlJc w:val="left"/>
      <w:pPr>
        <w:ind w:left="548" w:hanging="243"/>
      </w:pPr>
      <w:rPr>
        <w:rFonts w:hint="default"/>
        <w:lang w:val="zh-CN" w:eastAsia="zh-CN" w:bidi="zh-CN"/>
      </w:rPr>
    </w:lvl>
    <w:lvl w:ilvl="2" w:tentative="1">
      <w:start w:val="0"/>
      <w:numFmt w:val="bullet"/>
      <w:lvlText w:val="•"/>
      <w:lvlJc w:val="left"/>
      <w:pPr>
        <w:ind w:left="997" w:hanging="243"/>
      </w:pPr>
      <w:rPr>
        <w:rFonts w:hint="default"/>
        <w:lang w:val="zh-CN" w:eastAsia="zh-CN" w:bidi="zh-CN"/>
      </w:rPr>
    </w:lvl>
    <w:lvl w:ilvl="3" w:tentative="1">
      <w:start w:val="0"/>
      <w:numFmt w:val="bullet"/>
      <w:lvlText w:val="•"/>
      <w:lvlJc w:val="left"/>
      <w:pPr>
        <w:ind w:left="1446" w:hanging="243"/>
      </w:pPr>
      <w:rPr>
        <w:rFonts w:hint="default"/>
        <w:lang w:val="zh-CN" w:eastAsia="zh-CN" w:bidi="zh-CN"/>
      </w:rPr>
    </w:lvl>
    <w:lvl w:ilvl="4" w:tentative="1">
      <w:start w:val="0"/>
      <w:numFmt w:val="bullet"/>
      <w:lvlText w:val="•"/>
      <w:lvlJc w:val="left"/>
      <w:pPr>
        <w:ind w:left="1895" w:hanging="243"/>
      </w:pPr>
      <w:rPr>
        <w:rFonts w:hint="default"/>
        <w:lang w:val="zh-CN" w:eastAsia="zh-CN" w:bidi="zh-CN"/>
      </w:rPr>
    </w:lvl>
    <w:lvl w:ilvl="5" w:tentative="1">
      <w:start w:val="0"/>
      <w:numFmt w:val="bullet"/>
      <w:lvlText w:val="•"/>
      <w:lvlJc w:val="left"/>
      <w:pPr>
        <w:ind w:left="2344" w:hanging="243"/>
      </w:pPr>
      <w:rPr>
        <w:rFonts w:hint="default"/>
        <w:lang w:val="zh-CN" w:eastAsia="zh-CN" w:bidi="zh-CN"/>
      </w:rPr>
    </w:lvl>
    <w:lvl w:ilvl="6" w:tentative="1">
      <w:start w:val="0"/>
      <w:numFmt w:val="bullet"/>
      <w:lvlText w:val="•"/>
      <w:lvlJc w:val="left"/>
      <w:pPr>
        <w:ind w:left="2793" w:hanging="243"/>
      </w:pPr>
      <w:rPr>
        <w:rFonts w:hint="default"/>
        <w:lang w:val="zh-CN" w:eastAsia="zh-CN" w:bidi="zh-CN"/>
      </w:rPr>
    </w:lvl>
    <w:lvl w:ilvl="7" w:tentative="1">
      <w:start w:val="0"/>
      <w:numFmt w:val="bullet"/>
      <w:lvlText w:val="•"/>
      <w:lvlJc w:val="left"/>
      <w:pPr>
        <w:ind w:left="3242" w:hanging="243"/>
      </w:pPr>
      <w:rPr>
        <w:rFonts w:hint="default"/>
        <w:lang w:val="zh-CN" w:eastAsia="zh-CN" w:bidi="zh-CN"/>
      </w:rPr>
    </w:lvl>
    <w:lvl w:ilvl="8" w:tentative="1">
      <w:start w:val="0"/>
      <w:numFmt w:val="bullet"/>
      <w:lvlText w:val="•"/>
      <w:lvlJc w:val="left"/>
      <w:pPr>
        <w:ind w:left="3691" w:hanging="243"/>
      </w:pPr>
      <w:rPr>
        <w:rFonts w:hint="default"/>
        <w:lang w:val="zh-CN" w:eastAsia="zh-CN" w:bidi="zh-CN"/>
      </w:rPr>
    </w:lvl>
  </w:abstractNum>
  <w:abstractNum w:abstractNumId="35">
    <w:nsid w:val="00000023"/>
    <w:multiLevelType w:val="multilevel"/>
    <w:tmpl w:val="00000023"/>
    <w:lvl w:ilvl="0" w:tentative="1">
      <w:start w:val="1"/>
      <w:numFmt w:val="decimal"/>
      <w:lvlText w:val="%1."/>
      <w:lvlJc w:val="left"/>
      <w:pPr>
        <w:ind w:left="108" w:hanging="243"/>
      </w:pPr>
      <w:rPr>
        <w:rFonts w:hint="default" w:ascii="宋体" w:hAnsi="宋体" w:eastAsia="宋体" w:cs="宋体"/>
        <w:w w:val="100"/>
        <w:sz w:val="22"/>
        <w:szCs w:val="22"/>
        <w:lang w:val="zh-CN" w:eastAsia="zh-CN" w:bidi="zh-CN"/>
      </w:rPr>
    </w:lvl>
    <w:lvl w:ilvl="1" w:tentative="1">
      <w:start w:val="0"/>
      <w:numFmt w:val="bullet"/>
      <w:lvlText w:val="•"/>
      <w:lvlJc w:val="left"/>
      <w:pPr>
        <w:ind w:left="548" w:hanging="243"/>
      </w:pPr>
      <w:rPr>
        <w:rFonts w:hint="default"/>
        <w:lang w:val="zh-CN" w:eastAsia="zh-CN" w:bidi="zh-CN"/>
      </w:rPr>
    </w:lvl>
    <w:lvl w:ilvl="2" w:tentative="1">
      <w:start w:val="0"/>
      <w:numFmt w:val="bullet"/>
      <w:lvlText w:val="•"/>
      <w:lvlJc w:val="left"/>
      <w:pPr>
        <w:ind w:left="997" w:hanging="243"/>
      </w:pPr>
      <w:rPr>
        <w:rFonts w:hint="default"/>
        <w:lang w:val="zh-CN" w:eastAsia="zh-CN" w:bidi="zh-CN"/>
      </w:rPr>
    </w:lvl>
    <w:lvl w:ilvl="3" w:tentative="1">
      <w:start w:val="0"/>
      <w:numFmt w:val="bullet"/>
      <w:lvlText w:val="•"/>
      <w:lvlJc w:val="left"/>
      <w:pPr>
        <w:ind w:left="1446" w:hanging="243"/>
      </w:pPr>
      <w:rPr>
        <w:rFonts w:hint="default"/>
        <w:lang w:val="zh-CN" w:eastAsia="zh-CN" w:bidi="zh-CN"/>
      </w:rPr>
    </w:lvl>
    <w:lvl w:ilvl="4" w:tentative="1">
      <w:start w:val="0"/>
      <w:numFmt w:val="bullet"/>
      <w:lvlText w:val="•"/>
      <w:lvlJc w:val="left"/>
      <w:pPr>
        <w:ind w:left="1895" w:hanging="243"/>
      </w:pPr>
      <w:rPr>
        <w:rFonts w:hint="default"/>
        <w:lang w:val="zh-CN" w:eastAsia="zh-CN" w:bidi="zh-CN"/>
      </w:rPr>
    </w:lvl>
    <w:lvl w:ilvl="5" w:tentative="1">
      <w:start w:val="0"/>
      <w:numFmt w:val="bullet"/>
      <w:lvlText w:val="•"/>
      <w:lvlJc w:val="left"/>
      <w:pPr>
        <w:ind w:left="2344" w:hanging="243"/>
      </w:pPr>
      <w:rPr>
        <w:rFonts w:hint="default"/>
        <w:lang w:val="zh-CN" w:eastAsia="zh-CN" w:bidi="zh-CN"/>
      </w:rPr>
    </w:lvl>
    <w:lvl w:ilvl="6" w:tentative="1">
      <w:start w:val="0"/>
      <w:numFmt w:val="bullet"/>
      <w:lvlText w:val="•"/>
      <w:lvlJc w:val="left"/>
      <w:pPr>
        <w:ind w:left="2793" w:hanging="243"/>
      </w:pPr>
      <w:rPr>
        <w:rFonts w:hint="default"/>
        <w:lang w:val="zh-CN" w:eastAsia="zh-CN" w:bidi="zh-CN"/>
      </w:rPr>
    </w:lvl>
    <w:lvl w:ilvl="7" w:tentative="1">
      <w:start w:val="0"/>
      <w:numFmt w:val="bullet"/>
      <w:lvlText w:val="•"/>
      <w:lvlJc w:val="left"/>
      <w:pPr>
        <w:ind w:left="3242" w:hanging="243"/>
      </w:pPr>
      <w:rPr>
        <w:rFonts w:hint="default"/>
        <w:lang w:val="zh-CN" w:eastAsia="zh-CN" w:bidi="zh-CN"/>
      </w:rPr>
    </w:lvl>
    <w:lvl w:ilvl="8" w:tentative="1">
      <w:start w:val="0"/>
      <w:numFmt w:val="bullet"/>
      <w:lvlText w:val="•"/>
      <w:lvlJc w:val="left"/>
      <w:pPr>
        <w:ind w:left="3691" w:hanging="243"/>
      </w:pPr>
      <w:rPr>
        <w:rFonts w:hint="default"/>
        <w:lang w:val="zh-CN" w:eastAsia="zh-CN" w:bidi="zh-CN"/>
      </w:rPr>
    </w:lvl>
  </w:abstractNum>
  <w:abstractNum w:abstractNumId="36">
    <w:nsid w:val="00000024"/>
    <w:multiLevelType w:val="multilevel"/>
    <w:tmpl w:val="00000024"/>
    <w:lvl w:ilvl="0" w:tentative="1">
      <w:start w:val="1"/>
      <w:numFmt w:val="decimal"/>
      <w:lvlText w:val="%1."/>
      <w:lvlJc w:val="left"/>
      <w:pPr>
        <w:ind w:left="1078" w:hanging="322"/>
      </w:pPr>
      <w:rPr>
        <w:rFonts w:hint="default" w:ascii="宋体" w:hAnsi="宋体" w:eastAsia="宋体" w:cs="宋体"/>
        <w:spacing w:val="-2"/>
        <w:w w:val="99"/>
        <w:sz w:val="30"/>
        <w:szCs w:val="30"/>
        <w:lang w:val="zh-CN" w:eastAsia="zh-CN" w:bidi="zh-CN"/>
      </w:rPr>
    </w:lvl>
    <w:lvl w:ilvl="1" w:tentative="1">
      <w:start w:val="1"/>
      <w:numFmt w:val="decimal"/>
      <w:lvlText w:val="%2."/>
      <w:lvlJc w:val="left"/>
      <w:pPr>
        <w:ind w:left="4145" w:hanging="332"/>
      </w:pPr>
      <w:rPr>
        <w:rFonts w:hint="default" w:ascii="PMingLiU" w:hAnsi="PMingLiU" w:eastAsia="PMingLiU" w:cs="PMingLiU"/>
        <w:spacing w:val="-2"/>
        <w:w w:val="105"/>
        <w:sz w:val="42"/>
        <w:szCs w:val="42"/>
        <w:lang w:val="zh-CN" w:eastAsia="zh-CN" w:bidi="zh-CN"/>
      </w:rPr>
    </w:lvl>
    <w:lvl w:ilvl="2" w:tentative="1">
      <w:start w:val="0"/>
      <w:numFmt w:val="bullet"/>
      <w:lvlText w:val="•"/>
      <w:lvlJc w:val="left"/>
      <w:pPr>
        <w:ind w:left="4714" w:hanging="332"/>
      </w:pPr>
      <w:rPr>
        <w:rFonts w:hint="default"/>
        <w:lang w:val="zh-CN" w:eastAsia="zh-CN" w:bidi="zh-CN"/>
      </w:rPr>
    </w:lvl>
    <w:lvl w:ilvl="3" w:tentative="1">
      <w:start w:val="0"/>
      <w:numFmt w:val="bullet"/>
      <w:lvlText w:val="•"/>
      <w:lvlJc w:val="left"/>
      <w:pPr>
        <w:ind w:left="5288" w:hanging="332"/>
      </w:pPr>
      <w:rPr>
        <w:rFonts w:hint="default"/>
        <w:lang w:val="zh-CN" w:eastAsia="zh-CN" w:bidi="zh-CN"/>
      </w:rPr>
    </w:lvl>
    <w:lvl w:ilvl="4" w:tentative="1">
      <w:start w:val="0"/>
      <w:numFmt w:val="bullet"/>
      <w:lvlText w:val="•"/>
      <w:lvlJc w:val="left"/>
      <w:pPr>
        <w:ind w:left="5862" w:hanging="332"/>
      </w:pPr>
      <w:rPr>
        <w:rFonts w:hint="default"/>
        <w:lang w:val="zh-CN" w:eastAsia="zh-CN" w:bidi="zh-CN"/>
      </w:rPr>
    </w:lvl>
    <w:lvl w:ilvl="5" w:tentative="1">
      <w:start w:val="0"/>
      <w:numFmt w:val="bullet"/>
      <w:lvlText w:val="•"/>
      <w:lvlJc w:val="left"/>
      <w:pPr>
        <w:ind w:left="6436" w:hanging="332"/>
      </w:pPr>
      <w:rPr>
        <w:rFonts w:hint="default"/>
        <w:lang w:val="zh-CN" w:eastAsia="zh-CN" w:bidi="zh-CN"/>
      </w:rPr>
    </w:lvl>
    <w:lvl w:ilvl="6" w:tentative="1">
      <w:start w:val="0"/>
      <w:numFmt w:val="bullet"/>
      <w:lvlText w:val="•"/>
      <w:lvlJc w:val="left"/>
      <w:pPr>
        <w:ind w:left="7010" w:hanging="332"/>
      </w:pPr>
      <w:rPr>
        <w:rFonts w:hint="default"/>
        <w:lang w:val="zh-CN" w:eastAsia="zh-CN" w:bidi="zh-CN"/>
      </w:rPr>
    </w:lvl>
    <w:lvl w:ilvl="7" w:tentative="1">
      <w:start w:val="0"/>
      <w:numFmt w:val="bullet"/>
      <w:lvlText w:val="•"/>
      <w:lvlJc w:val="left"/>
      <w:pPr>
        <w:ind w:left="7584" w:hanging="332"/>
      </w:pPr>
      <w:rPr>
        <w:rFonts w:hint="default"/>
        <w:lang w:val="zh-CN" w:eastAsia="zh-CN" w:bidi="zh-CN"/>
      </w:rPr>
    </w:lvl>
    <w:lvl w:ilvl="8" w:tentative="1">
      <w:start w:val="0"/>
      <w:numFmt w:val="bullet"/>
      <w:lvlText w:val="•"/>
      <w:lvlJc w:val="left"/>
      <w:pPr>
        <w:ind w:left="8158" w:hanging="332"/>
      </w:pPr>
      <w:rPr>
        <w:rFonts w:hint="default"/>
        <w:lang w:val="zh-CN" w:eastAsia="zh-CN" w:bidi="zh-CN"/>
      </w:rPr>
    </w:lvl>
  </w:abstractNum>
  <w:abstractNum w:abstractNumId="21">
    <w:nsid w:val="00000015"/>
    <w:multiLevelType w:val="multilevel"/>
    <w:tmpl w:val="00000015"/>
    <w:lvl w:ilvl="0" w:tentative="1">
      <w:start w:val="1"/>
      <w:numFmt w:val="decimal"/>
      <w:lvlText w:val="%1."/>
      <w:lvlJc w:val="left"/>
      <w:pPr>
        <w:ind w:left="107" w:hanging="212"/>
      </w:pPr>
      <w:rPr>
        <w:rFonts w:hint="default" w:ascii="宋体" w:hAnsi="宋体" w:eastAsia="宋体" w:cs="宋体"/>
        <w:spacing w:val="1"/>
        <w:w w:val="99"/>
        <w:sz w:val="19"/>
        <w:szCs w:val="19"/>
        <w:lang w:val="zh-CN" w:eastAsia="zh-CN" w:bidi="zh-CN"/>
      </w:rPr>
    </w:lvl>
    <w:lvl w:ilvl="1" w:tentative="1">
      <w:start w:val="0"/>
      <w:numFmt w:val="bullet"/>
      <w:lvlText w:val="•"/>
      <w:lvlJc w:val="left"/>
      <w:pPr>
        <w:ind w:left="526" w:hanging="212"/>
      </w:pPr>
      <w:rPr>
        <w:rFonts w:hint="default"/>
        <w:lang w:val="zh-CN" w:eastAsia="zh-CN" w:bidi="zh-CN"/>
      </w:rPr>
    </w:lvl>
    <w:lvl w:ilvl="2" w:tentative="1">
      <w:start w:val="0"/>
      <w:numFmt w:val="bullet"/>
      <w:lvlText w:val="•"/>
      <w:lvlJc w:val="left"/>
      <w:pPr>
        <w:ind w:left="952" w:hanging="212"/>
      </w:pPr>
      <w:rPr>
        <w:rFonts w:hint="default"/>
        <w:lang w:val="zh-CN" w:eastAsia="zh-CN" w:bidi="zh-CN"/>
      </w:rPr>
    </w:lvl>
    <w:lvl w:ilvl="3" w:tentative="1">
      <w:start w:val="0"/>
      <w:numFmt w:val="bullet"/>
      <w:lvlText w:val="•"/>
      <w:lvlJc w:val="left"/>
      <w:pPr>
        <w:ind w:left="1378" w:hanging="212"/>
      </w:pPr>
      <w:rPr>
        <w:rFonts w:hint="default"/>
        <w:lang w:val="zh-CN" w:eastAsia="zh-CN" w:bidi="zh-CN"/>
      </w:rPr>
    </w:lvl>
    <w:lvl w:ilvl="4" w:tentative="1">
      <w:start w:val="0"/>
      <w:numFmt w:val="bullet"/>
      <w:lvlText w:val="•"/>
      <w:lvlJc w:val="left"/>
      <w:pPr>
        <w:ind w:left="1804" w:hanging="212"/>
      </w:pPr>
      <w:rPr>
        <w:rFonts w:hint="default"/>
        <w:lang w:val="zh-CN" w:eastAsia="zh-CN" w:bidi="zh-CN"/>
      </w:rPr>
    </w:lvl>
    <w:lvl w:ilvl="5" w:tentative="1">
      <w:start w:val="0"/>
      <w:numFmt w:val="bullet"/>
      <w:lvlText w:val="•"/>
      <w:lvlJc w:val="left"/>
      <w:pPr>
        <w:ind w:left="2230" w:hanging="212"/>
      </w:pPr>
      <w:rPr>
        <w:rFonts w:hint="default"/>
        <w:lang w:val="zh-CN" w:eastAsia="zh-CN" w:bidi="zh-CN"/>
      </w:rPr>
    </w:lvl>
    <w:lvl w:ilvl="6" w:tentative="1">
      <w:start w:val="0"/>
      <w:numFmt w:val="bullet"/>
      <w:lvlText w:val="•"/>
      <w:lvlJc w:val="left"/>
      <w:pPr>
        <w:ind w:left="2656" w:hanging="212"/>
      </w:pPr>
      <w:rPr>
        <w:rFonts w:hint="default"/>
        <w:lang w:val="zh-CN" w:eastAsia="zh-CN" w:bidi="zh-CN"/>
      </w:rPr>
    </w:lvl>
    <w:lvl w:ilvl="7" w:tentative="1">
      <w:start w:val="0"/>
      <w:numFmt w:val="bullet"/>
      <w:lvlText w:val="•"/>
      <w:lvlJc w:val="left"/>
      <w:pPr>
        <w:ind w:left="3082" w:hanging="212"/>
      </w:pPr>
      <w:rPr>
        <w:rFonts w:hint="default"/>
        <w:lang w:val="zh-CN" w:eastAsia="zh-CN" w:bidi="zh-CN"/>
      </w:rPr>
    </w:lvl>
    <w:lvl w:ilvl="8" w:tentative="1">
      <w:start w:val="0"/>
      <w:numFmt w:val="bullet"/>
      <w:lvlText w:val="•"/>
      <w:lvlJc w:val="left"/>
      <w:pPr>
        <w:ind w:left="3508" w:hanging="212"/>
      </w:pPr>
      <w:rPr>
        <w:rFonts w:hint="default"/>
        <w:lang w:val="zh-CN" w:eastAsia="zh-CN" w:bidi="zh-CN"/>
      </w:rPr>
    </w:lvl>
  </w:abstractNum>
  <w:abstractNum w:abstractNumId="27">
    <w:nsid w:val="0000001B"/>
    <w:multiLevelType w:val="multilevel"/>
    <w:tmpl w:val="0000001B"/>
    <w:lvl w:ilvl="0" w:tentative="1">
      <w:start w:val="1"/>
      <w:numFmt w:val="decimal"/>
      <w:lvlText w:val="%1."/>
      <w:lvlJc w:val="left"/>
      <w:pPr>
        <w:ind w:left="108" w:hanging="243"/>
      </w:pPr>
      <w:rPr>
        <w:rFonts w:hint="default" w:ascii="宋体" w:hAnsi="宋体" w:eastAsia="宋体" w:cs="宋体"/>
        <w:w w:val="100"/>
        <w:sz w:val="22"/>
        <w:szCs w:val="22"/>
        <w:lang w:val="zh-CN" w:eastAsia="zh-CN" w:bidi="zh-CN"/>
      </w:rPr>
    </w:lvl>
    <w:lvl w:ilvl="1" w:tentative="1">
      <w:start w:val="0"/>
      <w:numFmt w:val="bullet"/>
      <w:lvlText w:val="•"/>
      <w:lvlJc w:val="left"/>
      <w:pPr>
        <w:ind w:left="548" w:hanging="243"/>
      </w:pPr>
      <w:rPr>
        <w:rFonts w:hint="default"/>
        <w:lang w:val="zh-CN" w:eastAsia="zh-CN" w:bidi="zh-CN"/>
      </w:rPr>
    </w:lvl>
    <w:lvl w:ilvl="2" w:tentative="1">
      <w:start w:val="0"/>
      <w:numFmt w:val="bullet"/>
      <w:lvlText w:val="•"/>
      <w:lvlJc w:val="left"/>
      <w:pPr>
        <w:ind w:left="997" w:hanging="243"/>
      </w:pPr>
      <w:rPr>
        <w:rFonts w:hint="default"/>
        <w:lang w:val="zh-CN" w:eastAsia="zh-CN" w:bidi="zh-CN"/>
      </w:rPr>
    </w:lvl>
    <w:lvl w:ilvl="3" w:tentative="1">
      <w:start w:val="0"/>
      <w:numFmt w:val="bullet"/>
      <w:lvlText w:val="•"/>
      <w:lvlJc w:val="left"/>
      <w:pPr>
        <w:ind w:left="1446" w:hanging="243"/>
      </w:pPr>
      <w:rPr>
        <w:rFonts w:hint="default"/>
        <w:lang w:val="zh-CN" w:eastAsia="zh-CN" w:bidi="zh-CN"/>
      </w:rPr>
    </w:lvl>
    <w:lvl w:ilvl="4" w:tentative="1">
      <w:start w:val="0"/>
      <w:numFmt w:val="bullet"/>
      <w:lvlText w:val="•"/>
      <w:lvlJc w:val="left"/>
      <w:pPr>
        <w:ind w:left="1895" w:hanging="243"/>
      </w:pPr>
      <w:rPr>
        <w:rFonts w:hint="default"/>
        <w:lang w:val="zh-CN" w:eastAsia="zh-CN" w:bidi="zh-CN"/>
      </w:rPr>
    </w:lvl>
    <w:lvl w:ilvl="5" w:tentative="1">
      <w:start w:val="0"/>
      <w:numFmt w:val="bullet"/>
      <w:lvlText w:val="•"/>
      <w:lvlJc w:val="left"/>
      <w:pPr>
        <w:ind w:left="2344" w:hanging="243"/>
      </w:pPr>
      <w:rPr>
        <w:rFonts w:hint="default"/>
        <w:lang w:val="zh-CN" w:eastAsia="zh-CN" w:bidi="zh-CN"/>
      </w:rPr>
    </w:lvl>
    <w:lvl w:ilvl="6" w:tentative="1">
      <w:start w:val="0"/>
      <w:numFmt w:val="bullet"/>
      <w:lvlText w:val="•"/>
      <w:lvlJc w:val="left"/>
      <w:pPr>
        <w:ind w:left="2793" w:hanging="243"/>
      </w:pPr>
      <w:rPr>
        <w:rFonts w:hint="default"/>
        <w:lang w:val="zh-CN" w:eastAsia="zh-CN" w:bidi="zh-CN"/>
      </w:rPr>
    </w:lvl>
    <w:lvl w:ilvl="7" w:tentative="1">
      <w:start w:val="0"/>
      <w:numFmt w:val="bullet"/>
      <w:lvlText w:val="•"/>
      <w:lvlJc w:val="left"/>
      <w:pPr>
        <w:ind w:left="3242" w:hanging="243"/>
      </w:pPr>
      <w:rPr>
        <w:rFonts w:hint="default"/>
        <w:lang w:val="zh-CN" w:eastAsia="zh-CN" w:bidi="zh-CN"/>
      </w:rPr>
    </w:lvl>
    <w:lvl w:ilvl="8" w:tentative="1">
      <w:start w:val="0"/>
      <w:numFmt w:val="bullet"/>
      <w:lvlText w:val="•"/>
      <w:lvlJc w:val="left"/>
      <w:pPr>
        <w:ind w:left="3691" w:hanging="243"/>
      </w:pPr>
      <w:rPr>
        <w:rFonts w:hint="default"/>
        <w:lang w:val="zh-CN" w:eastAsia="zh-CN" w:bidi="zh-CN"/>
      </w:rPr>
    </w:lvl>
  </w:abstractNum>
  <w:abstractNum w:abstractNumId="22">
    <w:nsid w:val="00000016"/>
    <w:multiLevelType w:val="multilevel"/>
    <w:tmpl w:val="00000016"/>
    <w:lvl w:ilvl="0" w:tentative="1">
      <w:start w:val="1"/>
      <w:numFmt w:val="decimal"/>
      <w:lvlText w:val="%1."/>
      <w:lvlJc w:val="left"/>
      <w:pPr>
        <w:ind w:left="147" w:hanging="212"/>
      </w:pPr>
      <w:rPr>
        <w:rFonts w:hint="default" w:ascii="宋体" w:hAnsi="宋体" w:eastAsia="宋体" w:cs="宋体"/>
        <w:spacing w:val="1"/>
        <w:w w:val="99"/>
        <w:sz w:val="19"/>
        <w:szCs w:val="19"/>
        <w:lang w:val="zh-CN" w:eastAsia="zh-CN" w:bidi="zh-CN"/>
      </w:rPr>
    </w:lvl>
    <w:lvl w:ilvl="1" w:tentative="1">
      <w:start w:val="0"/>
      <w:numFmt w:val="bullet"/>
      <w:lvlText w:val="•"/>
      <w:lvlJc w:val="left"/>
      <w:pPr>
        <w:ind w:left="385" w:hanging="212"/>
      </w:pPr>
      <w:rPr>
        <w:rFonts w:hint="default"/>
        <w:lang w:val="zh-CN" w:eastAsia="zh-CN" w:bidi="zh-CN"/>
      </w:rPr>
    </w:lvl>
    <w:lvl w:ilvl="2" w:tentative="1">
      <w:start w:val="0"/>
      <w:numFmt w:val="bullet"/>
      <w:lvlText w:val="•"/>
      <w:lvlJc w:val="left"/>
      <w:pPr>
        <w:ind w:left="631" w:hanging="212"/>
      </w:pPr>
      <w:rPr>
        <w:rFonts w:hint="default"/>
        <w:lang w:val="zh-CN" w:eastAsia="zh-CN" w:bidi="zh-CN"/>
      </w:rPr>
    </w:lvl>
    <w:lvl w:ilvl="3" w:tentative="1">
      <w:start w:val="0"/>
      <w:numFmt w:val="bullet"/>
      <w:lvlText w:val="•"/>
      <w:lvlJc w:val="left"/>
      <w:pPr>
        <w:ind w:left="876" w:hanging="212"/>
      </w:pPr>
      <w:rPr>
        <w:rFonts w:hint="default"/>
        <w:lang w:val="zh-CN" w:eastAsia="zh-CN" w:bidi="zh-CN"/>
      </w:rPr>
    </w:lvl>
    <w:lvl w:ilvl="4" w:tentative="1">
      <w:start w:val="0"/>
      <w:numFmt w:val="bullet"/>
      <w:lvlText w:val="•"/>
      <w:lvlJc w:val="left"/>
      <w:pPr>
        <w:ind w:left="1122" w:hanging="212"/>
      </w:pPr>
      <w:rPr>
        <w:rFonts w:hint="default"/>
        <w:lang w:val="zh-CN" w:eastAsia="zh-CN" w:bidi="zh-CN"/>
      </w:rPr>
    </w:lvl>
    <w:lvl w:ilvl="5" w:tentative="1">
      <w:start w:val="0"/>
      <w:numFmt w:val="bullet"/>
      <w:lvlText w:val="•"/>
      <w:lvlJc w:val="left"/>
      <w:pPr>
        <w:ind w:left="1368" w:hanging="212"/>
      </w:pPr>
      <w:rPr>
        <w:rFonts w:hint="default"/>
        <w:lang w:val="zh-CN" w:eastAsia="zh-CN" w:bidi="zh-CN"/>
      </w:rPr>
    </w:lvl>
    <w:lvl w:ilvl="6" w:tentative="1">
      <w:start w:val="0"/>
      <w:numFmt w:val="bullet"/>
      <w:lvlText w:val="•"/>
      <w:lvlJc w:val="left"/>
      <w:pPr>
        <w:ind w:left="1613" w:hanging="212"/>
      </w:pPr>
      <w:rPr>
        <w:rFonts w:hint="default"/>
        <w:lang w:val="zh-CN" w:eastAsia="zh-CN" w:bidi="zh-CN"/>
      </w:rPr>
    </w:lvl>
    <w:lvl w:ilvl="7" w:tentative="1">
      <w:start w:val="0"/>
      <w:numFmt w:val="bullet"/>
      <w:lvlText w:val="•"/>
      <w:lvlJc w:val="left"/>
      <w:pPr>
        <w:ind w:left="1859" w:hanging="212"/>
      </w:pPr>
      <w:rPr>
        <w:rFonts w:hint="default"/>
        <w:lang w:val="zh-CN" w:eastAsia="zh-CN" w:bidi="zh-CN"/>
      </w:rPr>
    </w:lvl>
    <w:lvl w:ilvl="8" w:tentative="1">
      <w:start w:val="0"/>
      <w:numFmt w:val="bullet"/>
      <w:lvlText w:val="•"/>
      <w:lvlJc w:val="left"/>
      <w:pPr>
        <w:ind w:left="2104" w:hanging="212"/>
      </w:pPr>
      <w:rPr>
        <w:rFonts w:hint="default"/>
        <w:lang w:val="zh-CN" w:eastAsia="zh-CN" w:bidi="zh-CN"/>
      </w:rPr>
    </w:lvl>
  </w:abstractNum>
  <w:abstractNum w:abstractNumId="23">
    <w:nsid w:val="00000017"/>
    <w:multiLevelType w:val="multilevel"/>
    <w:tmpl w:val="00000017"/>
    <w:lvl w:ilvl="0" w:tentative="1">
      <w:start w:val="1"/>
      <w:numFmt w:val="decimal"/>
      <w:lvlText w:val="%1."/>
      <w:lvlJc w:val="left"/>
      <w:pPr>
        <w:ind w:left="147" w:hanging="212"/>
      </w:pPr>
      <w:rPr>
        <w:rFonts w:hint="default" w:ascii="宋体" w:hAnsi="宋体" w:eastAsia="宋体" w:cs="宋体"/>
        <w:spacing w:val="1"/>
        <w:w w:val="99"/>
        <w:sz w:val="19"/>
        <w:szCs w:val="19"/>
        <w:lang w:val="zh-CN" w:eastAsia="zh-CN" w:bidi="zh-CN"/>
      </w:rPr>
    </w:lvl>
    <w:lvl w:ilvl="1" w:tentative="1">
      <w:start w:val="0"/>
      <w:numFmt w:val="bullet"/>
      <w:lvlText w:val="•"/>
      <w:lvlJc w:val="left"/>
      <w:pPr>
        <w:ind w:left="385" w:hanging="212"/>
      </w:pPr>
      <w:rPr>
        <w:rFonts w:hint="default"/>
        <w:lang w:val="zh-CN" w:eastAsia="zh-CN" w:bidi="zh-CN"/>
      </w:rPr>
    </w:lvl>
    <w:lvl w:ilvl="2" w:tentative="1">
      <w:start w:val="0"/>
      <w:numFmt w:val="bullet"/>
      <w:lvlText w:val="•"/>
      <w:lvlJc w:val="left"/>
      <w:pPr>
        <w:ind w:left="631" w:hanging="212"/>
      </w:pPr>
      <w:rPr>
        <w:rFonts w:hint="default"/>
        <w:lang w:val="zh-CN" w:eastAsia="zh-CN" w:bidi="zh-CN"/>
      </w:rPr>
    </w:lvl>
    <w:lvl w:ilvl="3" w:tentative="1">
      <w:start w:val="0"/>
      <w:numFmt w:val="bullet"/>
      <w:lvlText w:val="•"/>
      <w:lvlJc w:val="left"/>
      <w:pPr>
        <w:ind w:left="876" w:hanging="212"/>
      </w:pPr>
      <w:rPr>
        <w:rFonts w:hint="default"/>
        <w:lang w:val="zh-CN" w:eastAsia="zh-CN" w:bidi="zh-CN"/>
      </w:rPr>
    </w:lvl>
    <w:lvl w:ilvl="4" w:tentative="1">
      <w:start w:val="0"/>
      <w:numFmt w:val="bullet"/>
      <w:lvlText w:val="•"/>
      <w:lvlJc w:val="left"/>
      <w:pPr>
        <w:ind w:left="1122" w:hanging="212"/>
      </w:pPr>
      <w:rPr>
        <w:rFonts w:hint="default"/>
        <w:lang w:val="zh-CN" w:eastAsia="zh-CN" w:bidi="zh-CN"/>
      </w:rPr>
    </w:lvl>
    <w:lvl w:ilvl="5" w:tentative="1">
      <w:start w:val="0"/>
      <w:numFmt w:val="bullet"/>
      <w:lvlText w:val="•"/>
      <w:lvlJc w:val="left"/>
      <w:pPr>
        <w:ind w:left="1368" w:hanging="212"/>
      </w:pPr>
      <w:rPr>
        <w:rFonts w:hint="default"/>
        <w:lang w:val="zh-CN" w:eastAsia="zh-CN" w:bidi="zh-CN"/>
      </w:rPr>
    </w:lvl>
    <w:lvl w:ilvl="6" w:tentative="1">
      <w:start w:val="0"/>
      <w:numFmt w:val="bullet"/>
      <w:lvlText w:val="•"/>
      <w:lvlJc w:val="left"/>
      <w:pPr>
        <w:ind w:left="1613" w:hanging="212"/>
      </w:pPr>
      <w:rPr>
        <w:rFonts w:hint="default"/>
        <w:lang w:val="zh-CN" w:eastAsia="zh-CN" w:bidi="zh-CN"/>
      </w:rPr>
    </w:lvl>
    <w:lvl w:ilvl="7" w:tentative="1">
      <w:start w:val="0"/>
      <w:numFmt w:val="bullet"/>
      <w:lvlText w:val="•"/>
      <w:lvlJc w:val="left"/>
      <w:pPr>
        <w:ind w:left="1859" w:hanging="212"/>
      </w:pPr>
      <w:rPr>
        <w:rFonts w:hint="default"/>
        <w:lang w:val="zh-CN" w:eastAsia="zh-CN" w:bidi="zh-CN"/>
      </w:rPr>
    </w:lvl>
    <w:lvl w:ilvl="8" w:tentative="1">
      <w:start w:val="0"/>
      <w:numFmt w:val="bullet"/>
      <w:lvlText w:val="•"/>
      <w:lvlJc w:val="left"/>
      <w:pPr>
        <w:ind w:left="2104" w:hanging="212"/>
      </w:pPr>
      <w:rPr>
        <w:rFonts w:hint="default"/>
        <w:lang w:val="zh-CN" w:eastAsia="zh-CN" w:bidi="zh-CN"/>
      </w:rPr>
    </w:lvl>
  </w:abstractNum>
  <w:abstractNum w:abstractNumId="25">
    <w:nsid w:val="00000019"/>
    <w:multiLevelType w:val="multilevel"/>
    <w:tmpl w:val="00000019"/>
    <w:lvl w:ilvl="0" w:tentative="1">
      <w:start w:val="1"/>
      <w:numFmt w:val="decimal"/>
      <w:lvlText w:val="%1."/>
      <w:lvlJc w:val="left"/>
      <w:pPr>
        <w:ind w:left="831" w:hanging="212"/>
      </w:pPr>
      <w:rPr>
        <w:rFonts w:hint="default"/>
        <w:spacing w:val="-2"/>
        <w:w w:val="99"/>
        <w:lang w:val="zh-CN" w:eastAsia="zh-CN" w:bidi="zh-CN"/>
      </w:rPr>
    </w:lvl>
    <w:lvl w:ilvl="1" w:tentative="1">
      <w:start w:val="0"/>
      <w:numFmt w:val="bullet"/>
      <w:lvlText w:val="•"/>
      <w:lvlJc w:val="left"/>
      <w:pPr>
        <w:ind w:left="2299" w:hanging="212"/>
      </w:pPr>
      <w:rPr>
        <w:rFonts w:hint="default"/>
        <w:lang w:val="zh-CN" w:eastAsia="zh-CN" w:bidi="zh-CN"/>
      </w:rPr>
    </w:lvl>
    <w:lvl w:ilvl="2" w:tentative="1">
      <w:start w:val="0"/>
      <w:numFmt w:val="bullet"/>
      <w:lvlText w:val="•"/>
      <w:lvlJc w:val="left"/>
      <w:pPr>
        <w:ind w:left="3759" w:hanging="212"/>
      </w:pPr>
      <w:rPr>
        <w:rFonts w:hint="default"/>
        <w:lang w:val="zh-CN" w:eastAsia="zh-CN" w:bidi="zh-CN"/>
      </w:rPr>
    </w:lvl>
    <w:lvl w:ilvl="3" w:tentative="1">
      <w:start w:val="0"/>
      <w:numFmt w:val="bullet"/>
      <w:lvlText w:val="•"/>
      <w:lvlJc w:val="left"/>
      <w:pPr>
        <w:ind w:left="5219" w:hanging="212"/>
      </w:pPr>
      <w:rPr>
        <w:rFonts w:hint="default"/>
        <w:lang w:val="zh-CN" w:eastAsia="zh-CN" w:bidi="zh-CN"/>
      </w:rPr>
    </w:lvl>
    <w:lvl w:ilvl="4" w:tentative="1">
      <w:start w:val="0"/>
      <w:numFmt w:val="bullet"/>
      <w:lvlText w:val="•"/>
      <w:lvlJc w:val="left"/>
      <w:pPr>
        <w:ind w:left="6679" w:hanging="212"/>
      </w:pPr>
      <w:rPr>
        <w:rFonts w:hint="default"/>
        <w:lang w:val="zh-CN" w:eastAsia="zh-CN" w:bidi="zh-CN"/>
      </w:rPr>
    </w:lvl>
    <w:lvl w:ilvl="5" w:tentative="1">
      <w:start w:val="0"/>
      <w:numFmt w:val="bullet"/>
      <w:lvlText w:val="•"/>
      <w:lvlJc w:val="left"/>
      <w:pPr>
        <w:ind w:left="8139" w:hanging="212"/>
      </w:pPr>
      <w:rPr>
        <w:rFonts w:hint="default"/>
        <w:lang w:val="zh-CN" w:eastAsia="zh-CN" w:bidi="zh-CN"/>
      </w:rPr>
    </w:lvl>
    <w:lvl w:ilvl="6" w:tentative="1">
      <w:start w:val="0"/>
      <w:numFmt w:val="bullet"/>
      <w:lvlText w:val="•"/>
      <w:lvlJc w:val="left"/>
      <w:pPr>
        <w:ind w:left="9598" w:hanging="212"/>
      </w:pPr>
      <w:rPr>
        <w:rFonts w:hint="default"/>
        <w:lang w:val="zh-CN" w:eastAsia="zh-CN" w:bidi="zh-CN"/>
      </w:rPr>
    </w:lvl>
    <w:lvl w:ilvl="7" w:tentative="1">
      <w:start w:val="0"/>
      <w:numFmt w:val="bullet"/>
      <w:lvlText w:val="•"/>
      <w:lvlJc w:val="left"/>
      <w:pPr>
        <w:ind w:left="11058" w:hanging="212"/>
      </w:pPr>
      <w:rPr>
        <w:rFonts w:hint="default"/>
        <w:lang w:val="zh-CN" w:eastAsia="zh-CN" w:bidi="zh-CN"/>
      </w:rPr>
    </w:lvl>
    <w:lvl w:ilvl="8" w:tentative="1">
      <w:start w:val="0"/>
      <w:numFmt w:val="bullet"/>
      <w:lvlText w:val="•"/>
      <w:lvlJc w:val="left"/>
      <w:pPr>
        <w:ind w:left="12518" w:hanging="212"/>
      </w:pPr>
      <w:rPr>
        <w:rFonts w:hint="default"/>
        <w:lang w:val="zh-CN" w:eastAsia="zh-CN" w:bidi="zh-CN"/>
      </w:rPr>
    </w:lvl>
  </w:abstractNum>
  <w:abstractNum w:abstractNumId="29">
    <w:nsid w:val="0000001D"/>
    <w:multiLevelType w:val="multilevel"/>
    <w:tmpl w:val="0000001D"/>
    <w:lvl w:ilvl="0" w:tentative="1">
      <w:start w:val="1"/>
      <w:numFmt w:val="decimal"/>
      <w:lvlText w:val="%1."/>
      <w:lvlJc w:val="left"/>
      <w:pPr>
        <w:ind w:left="108" w:hanging="243"/>
      </w:pPr>
      <w:rPr>
        <w:rFonts w:hint="default" w:ascii="宋体" w:hAnsi="宋体" w:eastAsia="宋体" w:cs="宋体"/>
        <w:w w:val="100"/>
        <w:sz w:val="22"/>
        <w:szCs w:val="22"/>
        <w:lang w:val="zh-CN" w:eastAsia="zh-CN" w:bidi="zh-CN"/>
      </w:rPr>
    </w:lvl>
    <w:lvl w:ilvl="1" w:tentative="1">
      <w:start w:val="0"/>
      <w:numFmt w:val="bullet"/>
      <w:lvlText w:val="•"/>
      <w:lvlJc w:val="left"/>
      <w:pPr>
        <w:ind w:left="548" w:hanging="243"/>
      </w:pPr>
      <w:rPr>
        <w:rFonts w:hint="default"/>
        <w:lang w:val="zh-CN" w:eastAsia="zh-CN" w:bidi="zh-CN"/>
      </w:rPr>
    </w:lvl>
    <w:lvl w:ilvl="2" w:tentative="1">
      <w:start w:val="0"/>
      <w:numFmt w:val="bullet"/>
      <w:lvlText w:val="•"/>
      <w:lvlJc w:val="left"/>
      <w:pPr>
        <w:ind w:left="997" w:hanging="243"/>
      </w:pPr>
      <w:rPr>
        <w:rFonts w:hint="default"/>
        <w:lang w:val="zh-CN" w:eastAsia="zh-CN" w:bidi="zh-CN"/>
      </w:rPr>
    </w:lvl>
    <w:lvl w:ilvl="3" w:tentative="1">
      <w:start w:val="0"/>
      <w:numFmt w:val="bullet"/>
      <w:lvlText w:val="•"/>
      <w:lvlJc w:val="left"/>
      <w:pPr>
        <w:ind w:left="1446" w:hanging="243"/>
      </w:pPr>
      <w:rPr>
        <w:rFonts w:hint="default"/>
        <w:lang w:val="zh-CN" w:eastAsia="zh-CN" w:bidi="zh-CN"/>
      </w:rPr>
    </w:lvl>
    <w:lvl w:ilvl="4" w:tentative="1">
      <w:start w:val="0"/>
      <w:numFmt w:val="bullet"/>
      <w:lvlText w:val="•"/>
      <w:lvlJc w:val="left"/>
      <w:pPr>
        <w:ind w:left="1895" w:hanging="243"/>
      </w:pPr>
      <w:rPr>
        <w:rFonts w:hint="default"/>
        <w:lang w:val="zh-CN" w:eastAsia="zh-CN" w:bidi="zh-CN"/>
      </w:rPr>
    </w:lvl>
    <w:lvl w:ilvl="5" w:tentative="1">
      <w:start w:val="0"/>
      <w:numFmt w:val="bullet"/>
      <w:lvlText w:val="•"/>
      <w:lvlJc w:val="left"/>
      <w:pPr>
        <w:ind w:left="2344" w:hanging="243"/>
      </w:pPr>
      <w:rPr>
        <w:rFonts w:hint="default"/>
        <w:lang w:val="zh-CN" w:eastAsia="zh-CN" w:bidi="zh-CN"/>
      </w:rPr>
    </w:lvl>
    <w:lvl w:ilvl="6" w:tentative="1">
      <w:start w:val="0"/>
      <w:numFmt w:val="bullet"/>
      <w:lvlText w:val="•"/>
      <w:lvlJc w:val="left"/>
      <w:pPr>
        <w:ind w:left="2793" w:hanging="243"/>
      </w:pPr>
      <w:rPr>
        <w:rFonts w:hint="default"/>
        <w:lang w:val="zh-CN" w:eastAsia="zh-CN" w:bidi="zh-CN"/>
      </w:rPr>
    </w:lvl>
    <w:lvl w:ilvl="7" w:tentative="1">
      <w:start w:val="0"/>
      <w:numFmt w:val="bullet"/>
      <w:lvlText w:val="•"/>
      <w:lvlJc w:val="left"/>
      <w:pPr>
        <w:ind w:left="3242" w:hanging="243"/>
      </w:pPr>
      <w:rPr>
        <w:rFonts w:hint="default"/>
        <w:lang w:val="zh-CN" w:eastAsia="zh-CN" w:bidi="zh-CN"/>
      </w:rPr>
    </w:lvl>
    <w:lvl w:ilvl="8" w:tentative="1">
      <w:start w:val="0"/>
      <w:numFmt w:val="bullet"/>
      <w:lvlText w:val="•"/>
      <w:lvlJc w:val="left"/>
      <w:pPr>
        <w:ind w:left="3691" w:hanging="243"/>
      </w:pPr>
      <w:rPr>
        <w:rFonts w:hint="default"/>
        <w:lang w:val="zh-CN" w:eastAsia="zh-CN" w:bidi="zh-CN"/>
      </w:rPr>
    </w:lvl>
  </w:abstractNum>
  <w:abstractNum w:abstractNumId="30">
    <w:nsid w:val="0000001E"/>
    <w:multiLevelType w:val="multilevel"/>
    <w:tmpl w:val="0000001E"/>
    <w:lvl w:ilvl="0" w:tentative="1">
      <w:start w:val="1"/>
      <w:numFmt w:val="decimal"/>
      <w:lvlText w:val="%1."/>
      <w:lvlJc w:val="left"/>
      <w:pPr>
        <w:ind w:left="108" w:hanging="232"/>
      </w:pPr>
      <w:rPr>
        <w:rFonts w:hint="default" w:ascii="宋体" w:hAnsi="宋体" w:eastAsia="宋体" w:cs="宋体"/>
        <w:spacing w:val="-12"/>
        <w:w w:val="100"/>
        <w:sz w:val="22"/>
        <w:szCs w:val="22"/>
        <w:lang w:val="zh-CN" w:eastAsia="zh-CN" w:bidi="zh-CN"/>
      </w:rPr>
    </w:lvl>
    <w:lvl w:ilvl="1" w:tentative="1">
      <w:start w:val="0"/>
      <w:numFmt w:val="bullet"/>
      <w:lvlText w:val="•"/>
      <w:lvlJc w:val="left"/>
      <w:pPr>
        <w:ind w:left="548" w:hanging="232"/>
      </w:pPr>
      <w:rPr>
        <w:rFonts w:hint="default"/>
        <w:lang w:val="zh-CN" w:eastAsia="zh-CN" w:bidi="zh-CN"/>
      </w:rPr>
    </w:lvl>
    <w:lvl w:ilvl="2" w:tentative="1">
      <w:start w:val="0"/>
      <w:numFmt w:val="bullet"/>
      <w:lvlText w:val="•"/>
      <w:lvlJc w:val="left"/>
      <w:pPr>
        <w:ind w:left="997" w:hanging="232"/>
      </w:pPr>
      <w:rPr>
        <w:rFonts w:hint="default"/>
        <w:lang w:val="zh-CN" w:eastAsia="zh-CN" w:bidi="zh-CN"/>
      </w:rPr>
    </w:lvl>
    <w:lvl w:ilvl="3" w:tentative="1">
      <w:start w:val="0"/>
      <w:numFmt w:val="bullet"/>
      <w:lvlText w:val="•"/>
      <w:lvlJc w:val="left"/>
      <w:pPr>
        <w:ind w:left="1446" w:hanging="232"/>
      </w:pPr>
      <w:rPr>
        <w:rFonts w:hint="default"/>
        <w:lang w:val="zh-CN" w:eastAsia="zh-CN" w:bidi="zh-CN"/>
      </w:rPr>
    </w:lvl>
    <w:lvl w:ilvl="4" w:tentative="1">
      <w:start w:val="0"/>
      <w:numFmt w:val="bullet"/>
      <w:lvlText w:val="•"/>
      <w:lvlJc w:val="left"/>
      <w:pPr>
        <w:ind w:left="1895" w:hanging="232"/>
      </w:pPr>
      <w:rPr>
        <w:rFonts w:hint="default"/>
        <w:lang w:val="zh-CN" w:eastAsia="zh-CN" w:bidi="zh-CN"/>
      </w:rPr>
    </w:lvl>
    <w:lvl w:ilvl="5" w:tentative="1">
      <w:start w:val="0"/>
      <w:numFmt w:val="bullet"/>
      <w:lvlText w:val="•"/>
      <w:lvlJc w:val="left"/>
      <w:pPr>
        <w:ind w:left="2344" w:hanging="232"/>
      </w:pPr>
      <w:rPr>
        <w:rFonts w:hint="default"/>
        <w:lang w:val="zh-CN" w:eastAsia="zh-CN" w:bidi="zh-CN"/>
      </w:rPr>
    </w:lvl>
    <w:lvl w:ilvl="6" w:tentative="1">
      <w:start w:val="0"/>
      <w:numFmt w:val="bullet"/>
      <w:lvlText w:val="•"/>
      <w:lvlJc w:val="left"/>
      <w:pPr>
        <w:ind w:left="2793" w:hanging="232"/>
      </w:pPr>
      <w:rPr>
        <w:rFonts w:hint="default"/>
        <w:lang w:val="zh-CN" w:eastAsia="zh-CN" w:bidi="zh-CN"/>
      </w:rPr>
    </w:lvl>
    <w:lvl w:ilvl="7" w:tentative="1">
      <w:start w:val="0"/>
      <w:numFmt w:val="bullet"/>
      <w:lvlText w:val="•"/>
      <w:lvlJc w:val="left"/>
      <w:pPr>
        <w:ind w:left="3242" w:hanging="232"/>
      </w:pPr>
      <w:rPr>
        <w:rFonts w:hint="default"/>
        <w:lang w:val="zh-CN" w:eastAsia="zh-CN" w:bidi="zh-CN"/>
      </w:rPr>
    </w:lvl>
    <w:lvl w:ilvl="8" w:tentative="1">
      <w:start w:val="0"/>
      <w:numFmt w:val="bullet"/>
      <w:lvlText w:val="•"/>
      <w:lvlJc w:val="left"/>
      <w:pPr>
        <w:ind w:left="3691" w:hanging="232"/>
      </w:pPr>
      <w:rPr>
        <w:rFonts w:hint="default"/>
        <w:lang w:val="zh-CN" w:eastAsia="zh-CN" w:bidi="zh-CN"/>
      </w:rPr>
    </w:lvl>
  </w:abstractNum>
  <w:abstractNum w:abstractNumId="28">
    <w:nsid w:val="0000001C"/>
    <w:multiLevelType w:val="multilevel"/>
    <w:tmpl w:val="0000001C"/>
    <w:lvl w:ilvl="0" w:tentative="1">
      <w:start w:val="1"/>
      <w:numFmt w:val="decimal"/>
      <w:lvlText w:val="%1."/>
      <w:lvlJc w:val="left"/>
      <w:pPr>
        <w:ind w:left="108" w:hanging="360"/>
      </w:pPr>
      <w:rPr>
        <w:rFonts w:hint="default" w:ascii="宋体" w:hAnsi="宋体" w:eastAsia="宋体" w:cs="宋体"/>
        <w:spacing w:val="-58"/>
        <w:w w:val="100"/>
        <w:sz w:val="24"/>
        <w:szCs w:val="24"/>
        <w:lang w:val="zh-CN" w:eastAsia="zh-CN" w:bidi="zh-CN"/>
      </w:rPr>
    </w:lvl>
    <w:lvl w:ilvl="1" w:tentative="1">
      <w:start w:val="0"/>
      <w:numFmt w:val="bullet"/>
      <w:lvlText w:val="•"/>
      <w:lvlJc w:val="left"/>
      <w:pPr>
        <w:ind w:left="548" w:hanging="360"/>
      </w:pPr>
      <w:rPr>
        <w:rFonts w:hint="default"/>
        <w:lang w:val="zh-CN" w:eastAsia="zh-CN" w:bidi="zh-CN"/>
      </w:rPr>
    </w:lvl>
    <w:lvl w:ilvl="2" w:tentative="1">
      <w:start w:val="0"/>
      <w:numFmt w:val="bullet"/>
      <w:lvlText w:val="•"/>
      <w:lvlJc w:val="left"/>
      <w:pPr>
        <w:ind w:left="997" w:hanging="360"/>
      </w:pPr>
      <w:rPr>
        <w:rFonts w:hint="default"/>
        <w:lang w:val="zh-CN" w:eastAsia="zh-CN" w:bidi="zh-CN"/>
      </w:rPr>
    </w:lvl>
    <w:lvl w:ilvl="3" w:tentative="1">
      <w:start w:val="0"/>
      <w:numFmt w:val="bullet"/>
      <w:lvlText w:val="•"/>
      <w:lvlJc w:val="left"/>
      <w:pPr>
        <w:ind w:left="1446" w:hanging="360"/>
      </w:pPr>
      <w:rPr>
        <w:rFonts w:hint="default"/>
        <w:lang w:val="zh-CN" w:eastAsia="zh-CN" w:bidi="zh-CN"/>
      </w:rPr>
    </w:lvl>
    <w:lvl w:ilvl="4" w:tentative="1">
      <w:start w:val="0"/>
      <w:numFmt w:val="bullet"/>
      <w:lvlText w:val="•"/>
      <w:lvlJc w:val="left"/>
      <w:pPr>
        <w:ind w:left="1895" w:hanging="360"/>
      </w:pPr>
      <w:rPr>
        <w:rFonts w:hint="default"/>
        <w:lang w:val="zh-CN" w:eastAsia="zh-CN" w:bidi="zh-CN"/>
      </w:rPr>
    </w:lvl>
    <w:lvl w:ilvl="5" w:tentative="1">
      <w:start w:val="0"/>
      <w:numFmt w:val="bullet"/>
      <w:lvlText w:val="•"/>
      <w:lvlJc w:val="left"/>
      <w:pPr>
        <w:ind w:left="2344" w:hanging="360"/>
      </w:pPr>
      <w:rPr>
        <w:rFonts w:hint="default"/>
        <w:lang w:val="zh-CN" w:eastAsia="zh-CN" w:bidi="zh-CN"/>
      </w:rPr>
    </w:lvl>
    <w:lvl w:ilvl="6" w:tentative="1">
      <w:start w:val="0"/>
      <w:numFmt w:val="bullet"/>
      <w:lvlText w:val="•"/>
      <w:lvlJc w:val="left"/>
      <w:pPr>
        <w:ind w:left="2793" w:hanging="360"/>
      </w:pPr>
      <w:rPr>
        <w:rFonts w:hint="default"/>
        <w:lang w:val="zh-CN" w:eastAsia="zh-CN" w:bidi="zh-CN"/>
      </w:rPr>
    </w:lvl>
    <w:lvl w:ilvl="7" w:tentative="1">
      <w:start w:val="0"/>
      <w:numFmt w:val="bullet"/>
      <w:lvlText w:val="•"/>
      <w:lvlJc w:val="left"/>
      <w:pPr>
        <w:ind w:left="3242" w:hanging="360"/>
      </w:pPr>
      <w:rPr>
        <w:rFonts w:hint="default"/>
        <w:lang w:val="zh-CN" w:eastAsia="zh-CN" w:bidi="zh-CN"/>
      </w:rPr>
    </w:lvl>
    <w:lvl w:ilvl="8" w:tentative="1">
      <w:start w:val="0"/>
      <w:numFmt w:val="bullet"/>
      <w:lvlText w:val="•"/>
      <w:lvlJc w:val="left"/>
      <w:pPr>
        <w:ind w:left="3691" w:hanging="360"/>
      </w:pPr>
      <w:rPr>
        <w:rFonts w:hint="default"/>
        <w:lang w:val="zh-CN" w:eastAsia="zh-CN" w:bidi="zh-CN"/>
      </w:rPr>
    </w:lvl>
  </w:abstractNum>
  <w:abstractNum w:abstractNumId="31">
    <w:nsid w:val="0000001F"/>
    <w:multiLevelType w:val="multilevel"/>
    <w:tmpl w:val="0000001F"/>
    <w:lvl w:ilvl="0" w:tentative="1">
      <w:start w:val="1"/>
      <w:numFmt w:val="decimal"/>
      <w:lvlText w:val="%1."/>
      <w:lvlJc w:val="left"/>
      <w:pPr>
        <w:ind w:left="108" w:hanging="257"/>
      </w:pPr>
      <w:rPr>
        <w:rFonts w:hint="default" w:ascii="宋体" w:hAnsi="宋体" w:eastAsia="宋体" w:cs="宋体"/>
        <w:w w:val="100"/>
        <w:sz w:val="22"/>
        <w:szCs w:val="22"/>
        <w:lang w:val="zh-CN" w:eastAsia="zh-CN" w:bidi="zh-CN"/>
      </w:rPr>
    </w:lvl>
    <w:lvl w:ilvl="1" w:tentative="1">
      <w:start w:val="0"/>
      <w:numFmt w:val="bullet"/>
      <w:lvlText w:val="•"/>
      <w:lvlJc w:val="left"/>
      <w:pPr>
        <w:ind w:left="548" w:hanging="257"/>
      </w:pPr>
      <w:rPr>
        <w:rFonts w:hint="default"/>
        <w:lang w:val="zh-CN" w:eastAsia="zh-CN" w:bidi="zh-CN"/>
      </w:rPr>
    </w:lvl>
    <w:lvl w:ilvl="2" w:tentative="1">
      <w:start w:val="0"/>
      <w:numFmt w:val="bullet"/>
      <w:lvlText w:val="•"/>
      <w:lvlJc w:val="left"/>
      <w:pPr>
        <w:ind w:left="997" w:hanging="257"/>
      </w:pPr>
      <w:rPr>
        <w:rFonts w:hint="default"/>
        <w:lang w:val="zh-CN" w:eastAsia="zh-CN" w:bidi="zh-CN"/>
      </w:rPr>
    </w:lvl>
    <w:lvl w:ilvl="3" w:tentative="1">
      <w:start w:val="0"/>
      <w:numFmt w:val="bullet"/>
      <w:lvlText w:val="•"/>
      <w:lvlJc w:val="left"/>
      <w:pPr>
        <w:ind w:left="1446" w:hanging="257"/>
      </w:pPr>
      <w:rPr>
        <w:rFonts w:hint="default"/>
        <w:lang w:val="zh-CN" w:eastAsia="zh-CN" w:bidi="zh-CN"/>
      </w:rPr>
    </w:lvl>
    <w:lvl w:ilvl="4" w:tentative="1">
      <w:start w:val="0"/>
      <w:numFmt w:val="bullet"/>
      <w:lvlText w:val="•"/>
      <w:lvlJc w:val="left"/>
      <w:pPr>
        <w:ind w:left="1895" w:hanging="257"/>
      </w:pPr>
      <w:rPr>
        <w:rFonts w:hint="default"/>
        <w:lang w:val="zh-CN" w:eastAsia="zh-CN" w:bidi="zh-CN"/>
      </w:rPr>
    </w:lvl>
    <w:lvl w:ilvl="5" w:tentative="1">
      <w:start w:val="0"/>
      <w:numFmt w:val="bullet"/>
      <w:lvlText w:val="•"/>
      <w:lvlJc w:val="left"/>
      <w:pPr>
        <w:ind w:left="2344" w:hanging="257"/>
      </w:pPr>
      <w:rPr>
        <w:rFonts w:hint="default"/>
        <w:lang w:val="zh-CN" w:eastAsia="zh-CN" w:bidi="zh-CN"/>
      </w:rPr>
    </w:lvl>
    <w:lvl w:ilvl="6" w:tentative="1">
      <w:start w:val="0"/>
      <w:numFmt w:val="bullet"/>
      <w:lvlText w:val="•"/>
      <w:lvlJc w:val="left"/>
      <w:pPr>
        <w:ind w:left="2793" w:hanging="257"/>
      </w:pPr>
      <w:rPr>
        <w:rFonts w:hint="default"/>
        <w:lang w:val="zh-CN" w:eastAsia="zh-CN" w:bidi="zh-CN"/>
      </w:rPr>
    </w:lvl>
    <w:lvl w:ilvl="7" w:tentative="1">
      <w:start w:val="0"/>
      <w:numFmt w:val="bullet"/>
      <w:lvlText w:val="•"/>
      <w:lvlJc w:val="left"/>
      <w:pPr>
        <w:ind w:left="3242" w:hanging="257"/>
      </w:pPr>
      <w:rPr>
        <w:rFonts w:hint="default"/>
        <w:lang w:val="zh-CN" w:eastAsia="zh-CN" w:bidi="zh-CN"/>
      </w:rPr>
    </w:lvl>
    <w:lvl w:ilvl="8" w:tentative="1">
      <w:start w:val="0"/>
      <w:numFmt w:val="bullet"/>
      <w:lvlText w:val="•"/>
      <w:lvlJc w:val="left"/>
      <w:pPr>
        <w:ind w:left="3691" w:hanging="257"/>
      </w:pPr>
      <w:rPr>
        <w:rFonts w:hint="default"/>
        <w:lang w:val="zh-CN" w:eastAsia="zh-CN" w:bidi="zh-CN"/>
      </w:rPr>
    </w:lvl>
  </w:abstractNum>
  <w:abstractNum w:abstractNumId="26">
    <w:nsid w:val="0000001A"/>
    <w:multiLevelType w:val="multilevel"/>
    <w:tmpl w:val="0000001A"/>
    <w:lvl w:ilvl="0" w:tentative="1">
      <w:start w:val="1"/>
      <w:numFmt w:val="decimal"/>
      <w:lvlText w:val="%1."/>
      <w:lvlJc w:val="left"/>
      <w:pPr>
        <w:ind w:left="107" w:hanging="212"/>
      </w:pPr>
      <w:rPr>
        <w:rFonts w:hint="default" w:ascii="宋体" w:hAnsi="宋体" w:eastAsia="宋体" w:cs="宋体"/>
        <w:spacing w:val="1"/>
        <w:w w:val="99"/>
        <w:sz w:val="19"/>
        <w:szCs w:val="19"/>
        <w:lang w:val="zh-CN" w:eastAsia="zh-CN" w:bidi="zh-CN"/>
      </w:rPr>
    </w:lvl>
    <w:lvl w:ilvl="1" w:tentative="1">
      <w:start w:val="0"/>
      <w:numFmt w:val="bullet"/>
      <w:lvlText w:val="•"/>
      <w:lvlJc w:val="left"/>
      <w:pPr>
        <w:ind w:left="1545" w:hanging="212"/>
      </w:pPr>
      <w:rPr>
        <w:rFonts w:hint="default"/>
        <w:lang w:val="zh-CN" w:eastAsia="zh-CN" w:bidi="zh-CN"/>
      </w:rPr>
    </w:lvl>
    <w:lvl w:ilvl="2" w:tentative="1">
      <w:start w:val="0"/>
      <w:numFmt w:val="bullet"/>
      <w:lvlText w:val="•"/>
      <w:lvlJc w:val="left"/>
      <w:pPr>
        <w:ind w:left="2990" w:hanging="212"/>
      </w:pPr>
      <w:rPr>
        <w:rFonts w:hint="default"/>
        <w:lang w:val="zh-CN" w:eastAsia="zh-CN" w:bidi="zh-CN"/>
      </w:rPr>
    </w:lvl>
    <w:lvl w:ilvl="3" w:tentative="1">
      <w:start w:val="0"/>
      <w:numFmt w:val="bullet"/>
      <w:lvlText w:val="•"/>
      <w:lvlJc w:val="left"/>
      <w:pPr>
        <w:ind w:left="4435" w:hanging="212"/>
      </w:pPr>
      <w:rPr>
        <w:rFonts w:hint="default"/>
        <w:lang w:val="zh-CN" w:eastAsia="zh-CN" w:bidi="zh-CN"/>
      </w:rPr>
    </w:lvl>
    <w:lvl w:ilvl="4" w:tentative="1">
      <w:start w:val="0"/>
      <w:numFmt w:val="bullet"/>
      <w:lvlText w:val="•"/>
      <w:lvlJc w:val="left"/>
      <w:pPr>
        <w:ind w:left="5880" w:hanging="212"/>
      </w:pPr>
      <w:rPr>
        <w:rFonts w:hint="default"/>
        <w:lang w:val="zh-CN" w:eastAsia="zh-CN" w:bidi="zh-CN"/>
      </w:rPr>
    </w:lvl>
    <w:lvl w:ilvl="5" w:tentative="1">
      <w:start w:val="0"/>
      <w:numFmt w:val="bullet"/>
      <w:lvlText w:val="•"/>
      <w:lvlJc w:val="left"/>
      <w:pPr>
        <w:ind w:left="7325" w:hanging="212"/>
      </w:pPr>
      <w:rPr>
        <w:rFonts w:hint="default"/>
        <w:lang w:val="zh-CN" w:eastAsia="zh-CN" w:bidi="zh-CN"/>
      </w:rPr>
    </w:lvl>
    <w:lvl w:ilvl="6" w:tentative="1">
      <w:start w:val="0"/>
      <w:numFmt w:val="bullet"/>
      <w:lvlText w:val="•"/>
      <w:lvlJc w:val="left"/>
      <w:pPr>
        <w:ind w:left="8770" w:hanging="212"/>
      </w:pPr>
      <w:rPr>
        <w:rFonts w:hint="default"/>
        <w:lang w:val="zh-CN" w:eastAsia="zh-CN" w:bidi="zh-CN"/>
      </w:rPr>
    </w:lvl>
    <w:lvl w:ilvl="7" w:tentative="1">
      <w:start w:val="0"/>
      <w:numFmt w:val="bullet"/>
      <w:lvlText w:val="•"/>
      <w:lvlJc w:val="left"/>
      <w:pPr>
        <w:ind w:left="10215" w:hanging="212"/>
      </w:pPr>
      <w:rPr>
        <w:rFonts w:hint="default"/>
        <w:lang w:val="zh-CN" w:eastAsia="zh-CN" w:bidi="zh-CN"/>
      </w:rPr>
    </w:lvl>
    <w:lvl w:ilvl="8" w:tentative="1">
      <w:start w:val="0"/>
      <w:numFmt w:val="bullet"/>
      <w:lvlText w:val="•"/>
      <w:lvlJc w:val="left"/>
      <w:pPr>
        <w:ind w:left="11660" w:hanging="212"/>
      </w:pPr>
      <w:rPr>
        <w:rFonts w:hint="default"/>
        <w:lang w:val="zh-CN" w:eastAsia="zh-CN" w:bidi="zh-CN"/>
      </w:rPr>
    </w:lvl>
  </w:abstractNum>
  <w:abstractNum w:abstractNumId="32">
    <w:nsid w:val="00000020"/>
    <w:multiLevelType w:val="multilevel"/>
    <w:tmpl w:val="00000020"/>
    <w:lvl w:ilvl="0" w:tentative="1">
      <w:start w:val="1"/>
      <w:numFmt w:val="decimal"/>
      <w:lvlText w:val="%1."/>
      <w:lvlJc w:val="left"/>
      <w:pPr>
        <w:ind w:left="108" w:hanging="243"/>
      </w:pPr>
      <w:rPr>
        <w:rFonts w:hint="default" w:ascii="宋体" w:hAnsi="宋体" w:eastAsia="宋体" w:cs="宋体"/>
        <w:w w:val="100"/>
        <w:sz w:val="22"/>
        <w:szCs w:val="22"/>
        <w:lang w:val="zh-CN" w:eastAsia="zh-CN" w:bidi="zh-CN"/>
      </w:rPr>
    </w:lvl>
    <w:lvl w:ilvl="1" w:tentative="1">
      <w:start w:val="0"/>
      <w:numFmt w:val="bullet"/>
      <w:lvlText w:val="•"/>
      <w:lvlJc w:val="left"/>
      <w:pPr>
        <w:ind w:left="548" w:hanging="243"/>
      </w:pPr>
      <w:rPr>
        <w:rFonts w:hint="default"/>
        <w:lang w:val="zh-CN" w:eastAsia="zh-CN" w:bidi="zh-CN"/>
      </w:rPr>
    </w:lvl>
    <w:lvl w:ilvl="2" w:tentative="1">
      <w:start w:val="0"/>
      <w:numFmt w:val="bullet"/>
      <w:lvlText w:val="•"/>
      <w:lvlJc w:val="left"/>
      <w:pPr>
        <w:ind w:left="997" w:hanging="243"/>
      </w:pPr>
      <w:rPr>
        <w:rFonts w:hint="default"/>
        <w:lang w:val="zh-CN" w:eastAsia="zh-CN" w:bidi="zh-CN"/>
      </w:rPr>
    </w:lvl>
    <w:lvl w:ilvl="3" w:tentative="1">
      <w:start w:val="0"/>
      <w:numFmt w:val="bullet"/>
      <w:lvlText w:val="•"/>
      <w:lvlJc w:val="left"/>
      <w:pPr>
        <w:ind w:left="1446" w:hanging="243"/>
      </w:pPr>
      <w:rPr>
        <w:rFonts w:hint="default"/>
        <w:lang w:val="zh-CN" w:eastAsia="zh-CN" w:bidi="zh-CN"/>
      </w:rPr>
    </w:lvl>
    <w:lvl w:ilvl="4" w:tentative="1">
      <w:start w:val="0"/>
      <w:numFmt w:val="bullet"/>
      <w:lvlText w:val="•"/>
      <w:lvlJc w:val="left"/>
      <w:pPr>
        <w:ind w:left="1895" w:hanging="243"/>
      </w:pPr>
      <w:rPr>
        <w:rFonts w:hint="default"/>
        <w:lang w:val="zh-CN" w:eastAsia="zh-CN" w:bidi="zh-CN"/>
      </w:rPr>
    </w:lvl>
    <w:lvl w:ilvl="5" w:tentative="1">
      <w:start w:val="0"/>
      <w:numFmt w:val="bullet"/>
      <w:lvlText w:val="•"/>
      <w:lvlJc w:val="left"/>
      <w:pPr>
        <w:ind w:left="2344" w:hanging="243"/>
      </w:pPr>
      <w:rPr>
        <w:rFonts w:hint="default"/>
        <w:lang w:val="zh-CN" w:eastAsia="zh-CN" w:bidi="zh-CN"/>
      </w:rPr>
    </w:lvl>
    <w:lvl w:ilvl="6" w:tentative="1">
      <w:start w:val="0"/>
      <w:numFmt w:val="bullet"/>
      <w:lvlText w:val="•"/>
      <w:lvlJc w:val="left"/>
      <w:pPr>
        <w:ind w:left="2793" w:hanging="243"/>
      </w:pPr>
      <w:rPr>
        <w:rFonts w:hint="default"/>
        <w:lang w:val="zh-CN" w:eastAsia="zh-CN" w:bidi="zh-CN"/>
      </w:rPr>
    </w:lvl>
    <w:lvl w:ilvl="7" w:tentative="1">
      <w:start w:val="0"/>
      <w:numFmt w:val="bullet"/>
      <w:lvlText w:val="•"/>
      <w:lvlJc w:val="left"/>
      <w:pPr>
        <w:ind w:left="3242" w:hanging="243"/>
      </w:pPr>
      <w:rPr>
        <w:rFonts w:hint="default"/>
        <w:lang w:val="zh-CN" w:eastAsia="zh-CN" w:bidi="zh-CN"/>
      </w:rPr>
    </w:lvl>
    <w:lvl w:ilvl="8" w:tentative="1">
      <w:start w:val="0"/>
      <w:numFmt w:val="bullet"/>
      <w:lvlText w:val="•"/>
      <w:lvlJc w:val="left"/>
      <w:pPr>
        <w:ind w:left="3691" w:hanging="243"/>
      </w:pPr>
      <w:rPr>
        <w:rFonts w:hint="default"/>
        <w:lang w:val="zh-CN" w:eastAsia="zh-CN" w:bidi="zh-CN"/>
      </w:rPr>
    </w:lvl>
  </w:abstractNum>
  <w:num w:numId="1">
    <w:abstractNumId w:val="36"/>
  </w:num>
  <w:num w:numId="2">
    <w:abstractNumId w:val="35"/>
  </w:num>
  <w:num w:numId="3">
    <w:abstractNumId w:val="34"/>
  </w:num>
  <w:num w:numId="4">
    <w:abstractNumId w:val="33"/>
  </w:num>
  <w:num w:numId="5">
    <w:abstractNumId w:val="32"/>
  </w:num>
  <w:num w:numId="6">
    <w:abstractNumId w:val="31"/>
  </w:num>
  <w:num w:numId="7">
    <w:abstractNumId w:val="30"/>
  </w:num>
  <w:num w:numId="8">
    <w:abstractNumId w:val="29"/>
  </w:num>
  <w:num w:numId="9">
    <w:abstractNumId w:val="28"/>
  </w:num>
  <w:num w:numId="10">
    <w:abstractNumId w:val="27"/>
  </w:num>
  <w:num w:numId="11">
    <w:abstractNumId w:val="26"/>
  </w:num>
  <w:num w:numId="12">
    <w:abstractNumId w:val="25"/>
  </w:num>
  <w:num w:numId="13">
    <w:abstractNumId w:val="24"/>
  </w:num>
  <w:num w:numId="14">
    <w:abstractNumId w:val="23"/>
  </w:num>
  <w:num w:numId="15">
    <w:abstractNumId w:val="22"/>
  </w:num>
  <w:num w:numId="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1"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3">
    <w:name w:val="Default Paragraph Font"/>
    <w:semiHidden/>
    <w:unhideWhenUsed/>
    <w:uiPriority w:val="1"/>
  </w:style>
  <w:style w:type="paragraph" w:styleId="2">
    <w:name w:val="Body Text"/>
    <w:basedOn w:val="1"/>
    <w:qFormat/>
    <w:uiPriority w:val="1"/>
    <w:rPr>
      <w:rFonts w:ascii="宋体" w:hAnsi="宋体" w:eastAsia="宋体" w:cs="宋体"/>
      <w:sz w:val="32"/>
      <w:szCs w:val="32"/>
      <w:lang w:val="zh-CN" w:eastAsia="zh-CN" w:bidi="zh-CN"/>
    </w:rPr>
  </w:style>
  <w:style w:type="paragraph" w:customStyle="1" w:styleId="4">
    <w:name w:val="Heading 1"/>
    <w:basedOn w:val="1"/>
    <w:qFormat/>
    <w:uiPriority w:val="1"/>
    <w:pPr>
      <w:spacing w:before="57"/>
      <w:ind w:left="3704" w:hanging="3705"/>
      <w:outlineLvl w:val="1"/>
    </w:pPr>
    <w:rPr>
      <w:rFonts w:ascii="PMingLiU" w:hAnsi="PMingLiU" w:eastAsia="PMingLiU" w:cs="PMingLiU"/>
      <w:sz w:val="44"/>
      <w:szCs w:val="44"/>
      <w:lang w:val="zh-CN" w:eastAsia="zh-CN" w:bidi="zh-CN"/>
    </w:rPr>
  </w:style>
  <w:style w:type="paragraph" w:customStyle="1" w:styleId="5">
    <w:name w:val="Heading 2"/>
    <w:basedOn w:val="1"/>
    <w:qFormat/>
    <w:uiPriority w:val="1"/>
    <w:pPr>
      <w:spacing w:before="37"/>
      <w:ind w:left="1915" w:hanging="1916"/>
      <w:outlineLvl w:val="2"/>
    </w:pPr>
    <w:rPr>
      <w:rFonts w:ascii="PMingLiU" w:hAnsi="PMingLiU" w:eastAsia="PMingLiU" w:cs="PMingLiU"/>
      <w:sz w:val="36"/>
      <w:szCs w:val="36"/>
      <w:lang w:val="zh-CN" w:eastAsia="zh-CN" w:bidi="zh-CN"/>
    </w:rPr>
  </w:style>
  <w:style w:type="paragraph" w:customStyle="1" w:styleId="6">
    <w:name w:val="List Paragraph"/>
    <w:basedOn w:val="1"/>
    <w:qFormat/>
    <w:uiPriority w:val="1"/>
    <w:pPr>
      <w:spacing w:before="57"/>
      <w:ind w:left="1078" w:hanging="323"/>
    </w:pPr>
    <w:rPr>
      <w:rFonts w:ascii="宋体" w:hAnsi="宋体" w:eastAsia="宋体" w:cs="宋体"/>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1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footer" Target="footer5.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2020-11-11T00:59:00Z</dcterms:created>
  <cp:lastModifiedBy>梁红星</cp:lastModifiedBy>
  <dcterms:modified xsi:type="dcterms:W3CDTF">2020-11-11T01:21:27Z</dcterms:modified>
  <dc:title>危险化学品生产经营企业执法检查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Creator">
    <vt:lpwstr>Aspose Ltd.</vt:lpwstr>
  </property>
  <property fmtid="{D5CDD505-2E9C-101B-9397-08002B2CF9AE}" pid="4" name="LastSaved">
    <vt:filetime>2020-11-11T00:00:00Z</vt:filetime>
  </property>
  <property fmtid="{D5CDD505-2E9C-101B-9397-08002B2CF9AE}" pid="5" name="KSOProductBuildVer">
    <vt:lpwstr>2052-9.1.0.4337</vt:lpwstr>
  </property>
</Properties>
</file>